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6AB5045" w14:textId="77777777">
      <w:pPr>
        <w:pBdr/>
        <w:spacing/>
        <w:ind/>
        <w:rPr>
          <w:color w:val="000000" w:themeColor="text1"/>
        </w:rPr>
      </w:pPr>
      <w:r>
        <w:rPr>
          <w:color w:val="000000" w:themeColor="text1"/>
        </w:rPr>
      </w:r>
      <w:r>
        <w:rPr>
          <w:color w:val="000000" w:themeColor="text1"/>
        </w:rPr>
      </w:r>
      <w:r>
        <w:rPr>
          <w:color w:val="000000" w:themeColor="text1"/>
        </w:rPr>
      </w:r>
    </w:p>
    <w:p w14:paraId="4533307F" w14:textId="77777777">
      <w:pPr>
        <w:pBdr/>
        <w:spacing/>
        <w:ind w:left="-15"/>
        <w:jc w:val="center"/>
        <w:rPr>
          <w:rFonts w:ascii="Arial" w:hAnsi="Arial" w:eastAsia="Verdana" w:cs="Arial"/>
          <w:b/>
          <w:color w:val="000000" w:themeColor="text1"/>
          <w:sz w:val="44"/>
          <w:szCs w:val="44"/>
        </w:rPr>
      </w:pPr>
      <w:r>
        <w:rPr>
          <w:rFonts w:ascii="Arial" w:hAnsi="Arial" w:eastAsia="Verdana" w:cs="Arial"/>
          <w:b/>
          <w:color w:val="000000" w:themeColor="text1"/>
          <w:sz w:val="44"/>
          <w:szCs w:val="44"/>
        </w:rPr>
        <w:t xml:space="preserve">Enseignements de Licence 1</w:t>
      </w:r>
      <w:r>
        <w:rPr>
          <w:rFonts w:ascii="Arial" w:hAnsi="Arial" w:eastAsia="Verdana" w:cs="Arial"/>
          <w:b/>
          <w:color w:val="000000" w:themeColor="text1"/>
          <w:sz w:val="44"/>
          <w:szCs w:val="44"/>
        </w:rPr>
      </w:r>
      <w:r>
        <w:rPr>
          <w:rFonts w:ascii="Arial" w:hAnsi="Arial" w:eastAsia="Verdana" w:cs="Arial"/>
          <w:b/>
          <w:color w:val="000000" w:themeColor="text1"/>
          <w:sz w:val="44"/>
          <w:szCs w:val="44"/>
        </w:rPr>
      </w:r>
    </w:p>
    <w:p w14:paraId="57D85246" w14:textId="77777777">
      <w:pPr>
        <w:pBdr/>
        <w:spacing/>
        <w:ind w:left="-15"/>
        <w:jc w:val="center"/>
        <w:rPr>
          <w:rFonts w:ascii="Arial" w:hAnsi="Arial" w:eastAsia="Verdana" w:cs="Arial"/>
          <w:b/>
          <w:color w:val="000000" w:themeColor="text1"/>
          <w:sz w:val="40"/>
          <w:szCs w:val="40"/>
        </w:rPr>
      </w:pPr>
      <w:r>
        <w:rPr>
          <w:rFonts w:ascii="Arial" w:hAnsi="Arial" w:eastAsia="Verdana" w:cs="Arial"/>
          <w:b/>
          <w:color w:val="000000" w:themeColor="text1"/>
          <w:sz w:val="40"/>
          <w:szCs w:val="40"/>
        </w:rPr>
        <w:t xml:space="preserve">Semestre 1</w:t>
      </w:r>
      <w:r>
        <w:rPr>
          <w:rFonts w:ascii="Arial" w:hAnsi="Arial" w:eastAsia="Verdana" w:cs="Arial"/>
          <w:b/>
          <w:color w:val="000000" w:themeColor="text1"/>
          <w:sz w:val="40"/>
          <w:szCs w:val="40"/>
        </w:rPr>
      </w:r>
      <w:r>
        <w:rPr>
          <w:rFonts w:ascii="Arial" w:hAnsi="Arial" w:eastAsia="Verdana" w:cs="Arial"/>
          <w:b/>
          <w:color w:val="000000" w:themeColor="text1"/>
          <w:sz w:val="40"/>
          <w:szCs w:val="40"/>
        </w:rPr>
      </w:r>
    </w:p>
    <w:p w14:paraId="20D934FA"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7D223BA"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3B1664B"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7AE2F47" w14:textId="77777777">
      <w:pPr>
        <w:pBdr/>
        <w:spacing/>
        <w:ind/>
        <w:rPr>
          <w:rFonts w:asciiTheme="minorHAnsi" w:hAnsiTheme="minorHAnsi" w:cstheme="minorHAnsi"/>
          <w:color w:val="000000" w:themeColor="text1"/>
        </w:rPr>
      </w:pPr>
      <w:r>
        <w:rPr>
          <w:rFonts w:eastAsia="Verdana"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1109345</wp:posOffset>
                </wp:positionH>
                <wp:positionV relativeFrom="paragraph">
                  <wp:posOffset>0</wp:posOffset>
                </wp:positionV>
                <wp:extent cx="3542383" cy="5014912"/>
                <wp:effectExtent l="0" t="0" r="1270" b="0"/>
                <wp:wrapTight wrapText="bothSides">
                  <wp:wrapPolygon edited="1">
                    <wp:start x="0" y="0"/>
                    <wp:lineTo x="0" y="21499"/>
                    <wp:lineTo x="21492" y="21499"/>
                    <wp:lineTo x="21492" y="0"/>
                    <wp:lineTo x="0" y="0"/>
                  </wp:wrapPolygon>
                </wp:wrapTight>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a:picLocks noChangeAspect="1"/>
                        </pic:cNvPicPr>
                        <pic:nvPr/>
                      </pic:nvPicPr>
                      <pic:blipFill rotWithShape="1">
                        <a:blip r:embed="rId13"/>
                        <a:stretch/>
                      </pic:blipFill>
                      <pic:spPr bwMode="auto">
                        <a:xfrm>
                          <a:off x="0" y="0"/>
                          <a:ext cx="3542383" cy="5014912"/>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8240;o:allowoverlap:true;o:allowincell:true;mso-position-horizontal-relative:text;margin-left:87.35pt;mso-position-horizontal:absolute;mso-position-vertical-relative:text;margin-top:0.00pt;mso-position-vertical:absolute;width:278.93pt;height:394.87pt;mso-wrap-distance-left:9.00pt;mso-wrap-distance-top:0.00pt;mso-wrap-distance-right:9.00pt;mso-wrap-distance-bottom:0.00pt;z-index:1;" wrapcoords="0 0 0 99532 99500 99532 99500 0 0 0" stroked="false">
                <w10:wrap type="tight"/>
                <v:imagedata r:id="rId13" o:title=""/>
                <o:lock v:ext="edit" rotation="t"/>
              </v:shape>
            </w:pict>
          </mc:Fallback>
        </mc:AlternateContent>
      </w:r>
      <w:r>
        <w:rPr>
          <w:rFonts w:asciiTheme="minorHAnsi" w:hAnsiTheme="minorHAnsi" w:cstheme="minorHAnsi"/>
          <w:color w:val="000000" w:themeColor="text1"/>
        </w:rPr>
      </w:r>
      <w:r>
        <w:rPr>
          <w:rFonts w:asciiTheme="minorHAnsi" w:hAnsiTheme="minorHAnsi" w:cstheme="minorHAnsi"/>
          <w:color w:val="000000" w:themeColor="text1"/>
        </w:rPr>
      </w:r>
    </w:p>
    <w:p w14:paraId="60587D13"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DC32A47"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339C09C"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99ED9D7"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E17FDA7"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96AB367"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D71580D"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04BB83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3E64F53"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57DF1F9"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BB8E0F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E9AE873"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7D46EB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BA7AAA9"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A4AE2DE"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5EE57CF"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3AB6F19"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2D1F630"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BDE5CB0"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p w14:paraId="4C96B031" w14:textId="2BB6B804">
      <w:pPr>
        <w:pBdr/>
        <w:spacing/>
        <w:ind/>
        <w:jc w:val="center"/>
        <w:rPr>
          <w:rFonts w:asciiTheme="minorHAnsi" w:hAnsiTheme="minorHAnsi" w:cstheme="minorHAnsi"/>
          <w:color w:val="000000" w:themeColor="text1"/>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margin">
                  <wp:posOffset>157480</wp:posOffset>
                </wp:positionH>
                <wp:positionV relativeFrom="paragraph">
                  <wp:posOffset>-471170</wp:posOffset>
                </wp:positionV>
                <wp:extent cx="5210175" cy="8212185"/>
                <wp:effectExtent l="0" t="0" r="0"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4"/>
                        <a:stretch/>
                      </pic:blipFill>
                      <pic:spPr bwMode="auto">
                        <a:xfrm>
                          <a:off x="0" y="0"/>
                          <a:ext cx="5213820" cy="821793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1312;o:allowoverlap:true;o:allowincell:true;mso-position-horizontal-relative:margin;margin-left:12.40pt;mso-position-horizontal:absolute;mso-position-vertical-relative:text;margin-top:-37.10pt;mso-position-vertical:absolute;width:410.25pt;height:646.63pt;mso-wrap-distance-left:9.00pt;mso-wrap-distance-top:0.00pt;mso-wrap-distance-right:9.00pt;mso-wrap-distance-bottom:0.00pt;z-index:1;" stroked="false">
                <v:imagedata r:id="rId14" o:title=""/>
                <o:lock v:ext="edit" rotation="t"/>
              </v:shape>
            </w:pict>
          </mc:Fallback>
        </mc:AlternateContent>
      </w:r>
      <w:r>
        <w:rPr>
          <w:rFonts w:asciiTheme="minorHAnsi" w:hAnsiTheme="minorHAnsi" w:cstheme="minorHAnsi"/>
          <w:color w:val="000000" w:themeColor="text1"/>
        </w:rPr>
      </w:r>
      <w:r>
        <w:rPr>
          <w:rFonts w:asciiTheme="minorHAnsi" w:hAnsiTheme="minorHAnsi" w:cstheme="minorHAnsi"/>
          <w:color w:val="000000" w:themeColor="text1"/>
        </w:rPr>
      </w:r>
    </w:p>
    <w:p w14:paraId="4BF22323" w14:textId="53CCFB4B">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p w14:paraId="3B0A6A21" w14:textId="2A53F7BF">
      <w:pPr>
        <w:pBdr/>
        <w:spacing/>
        <w:ind/>
        <w:rPr>
          <w:rFonts w:asciiTheme="minorHAnsi" w:hAnsiTheme="minorHAnsi" w:cstheme="minorHAnsi"/>
          <w:color w:val="000000" w:themeColor="text1"/>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column">
                  <wp:posOffset>167005</wp:posOffset>
                </wp:positionH>
                <wp:positionV relativeFrom="paragraph">
                  <wp:posOffset>5080</wp:posOffset>
                </wp:positionV>
                <wp:extent cx="5153744" cy="3962953"/>
                <wp:effectExtent l="0" t="0" r="8890" b="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5153744" cy="396295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0288;o:allowoverlap:true;o:allowincell:true;mso-position-horizontal-relative:text;margin-left:13.15pt;mso-position-horizontal:absolute;mso-position-vertical-relative:text;margin-top:0.40pt;mso-position-vertical:absolute;width:405.81pt;height:312.04pt;mso-wrap-distance-left:9.00pt;mso-wrap-distance-top:0.00pt;mso-wrap-distance-right:9.00pt;mso-wrap-distance-bottom:0.00pt;z-index:1;" stroked="false">
                <v:imagedata r:id="rId15" o:title=""/>
                <o:lock v:ext="edit" rotation="t"/>
              </v:shape>
            </w:pict>
          </mc:Fallback>
        </mc:AlternateContent>
      </w:r>
      <w:r>
        <w:rPr>
          <w:rFonts w:asciiTheme="minorHAnsi" w:hAnsiTheme="minorHAnsi" w:cstheme="minorHAnsi"/>
          <w:color w:val="000000" w:themeColor="text1"/>
        </w:rPr>
      </w:r>
      <w:r>
        <w:rPr>
          <w:rFonts w:asciiTheme="minorHAnsi" w:hAnsiTheme="minorHAnsi" w:cstheme="minorHAnsi"/>
          <w:color w:val="000000" w:themeColor="text1"/>
        </w:rPr>
      </w:r>
    </w:p>
    <w:p w14:paraId="461CEF57" w14:textId="61A3666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584838A" w14:textId="144B5631">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FB19E42" w14:textId="6C11383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BA5B76B" w14:textId="67C8FA5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8DC2DA7" w14:textId="4A999F54">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A1BBA57" w14:textId="24C8809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AFAB4D1" w14:textId="14F566C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A39450A" w14:textId="594E425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A31589B" w14:textId="2220F76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5BFA34C" w14:textId="03E89100">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C0F602E" w14:textId="44E97A8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C0DB71A" w14:textId="45362D2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A6FCAD3" w14:textId="3DC4D25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2C5938B" w14:textId="30BA09B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C13C9F5" w14:textId="4E37AE5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9284700" w14:textId="2938AD7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E632EE7" w14:textId="3E0B461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18D731E" w14:textId="3A8622A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6EC824A" w14:textId="7A4F2300">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8FEBA33" w14:textId="6F3A1276">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1E33434" w14:textId="245661C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9CE15D0" w14:textId="1DBF304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AAB2ABE"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843F6C6" w14:textId="125F0231">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1E3D9BB" w14:textId="7D24C32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65FC8C6" w14:textId="23A6157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5935A24" w14:textId="70F5E8F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E5ADE7A" w14:textId="604430AB">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30C0755" w14:textId="6F82215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E460229"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777DBEA" w14:textId="1C3C499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FE01ECA" w14:textId="61E38DF6">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06E6241" w14:textId="55BC4E3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411CF3A" w14:textId="2A47BAD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CD78A9F" w14:textId="13EDB84D">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1C420D7" w14:textId="7C2C9ACA">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63B2A8C" w14:textId="36DC1DB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56DD68B" w14:textId="51CC682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9C3F828" w14:textId="5E13F08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DFEFDED" w14:textId="7A603E3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940C5DC" w14:textId="24F3742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ABB8682" w14:textId="7724059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66BA42F" w14:textId="1A868F3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7321437"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7" w:type="dxa"/>
        <w:tblW w:w="9781" w:type="dxa"/>
        <w:tblBorders/>
        <w:tblLayout w:type="fixed"/>
        <w:tblLook w:val="0000" w:firstRow="0" w:lastRow="0" w:firstColumn="0" w:lastColumn="0" w:noHBand="0" w:noVBand="0"/>
      </w:tblPr>
      <w:tblGrid>
        <w:gridCol w:w="2835"/>
        <w:gridCol w:w="6946"/>
      </w:tblGrid>
      <w:tr>
        <w:trPr/>
        <w:tc>
          <w:tcPr>
            <w:shd w:val="clear" w:color="auto" w:fill="e6e6e6"/>
            <w:tcBorders>
              <w:top w:val="single" w:color="000000" w:sz="4" w:space="0"/>
              <w:left w:val="single" w:color="000000" w:sz="4" w:space="0"/>
              <w:bottom w:val="single" w:color="000000" w:sz="4" w:space="0"/>
            </w:tcBorders>
            <w:tcW w:w="2835" w:type="dxa"/>
          </w:tcPr>
          <w:p w14:paraId="233ADFAA"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946" w:type="dxa"/>
          </w:tcPr>
          <w:p w14:paraId="24A3507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2835" w:type="dxa"/>
          </w:tcPr>
          <w:p w14:paraId="779B94F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b/>
                <w:i/>
                <w:color w:val="000000" w:themeColor="text1"/>
                <w:sz w:val="20"/>
                <w:szCs w:val="20"/>
                <w:highlight w:val="yellow"/>
              </w:rPr>
            </w:r>
            <w:r>
              <w:rPr>
                <w:rFonts w:asciiTheme="minorHAnsi" w:hAnsiTheme="minorHAnsi" w:cstheme="minorHAnsi"/>
                <w:b/>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946" w:type="dxa"/>
          </w:tcPr>
          <w:p w14:paraId="26AEC3F7" w14:textId="79F1E86E">
            <w:pPr>
              <w:pBdr/>
              <w:spacing/>
              <w:ind/>
              <w:rPr>
                <w:rFonts w:asciiTheme="minorHAnsi" w:hAnsiTheme="minorHAnsi" w:cstheme="minorHAnsi"/>
                <w:b/>
                <w:color w:val="000000" w:themeColor="text1"/>
                <w:sz w:val="20"/>
                <w:szCs w:val="20"/>
                <w:highlight w:val="yellow"/>
              </w:rPr>
            </w:pPr>
            <w:r>
              <w:rPr>
                <w:rFonts w:asciiTheme="minorHAnsi" w:hAnsiTheme="minorHAnsi" w:cstheme="minorHAnsi"/>
                <w:b/>
                <w:color w:val="000000" w:themeColor="text1"/>
                <w:sz w:val="22"/>
                <w:szCs w:val="22"/>
              </w:rPr>
              <w:t xml:space="preserve">HPS1U</w:t>
            </w:r>
            <w:r>
              <w:rPr>
                <w:rFonts w:asciiTheme="minorHAnsi" w:hAnsiTheme="minorHAnsi" w:cstheme="minorHAnsi"/>
                <w:b/>
                <w:color w:val="000000" w:themeColor="text1"/>
                <w:sz w:val="22"/>
                <w:szCs w:val="22"/>
              </w:rPr>
              <w:t xml:space="preserve">33</w:t>
            </w:r>
            <w:r>
              <w:rPr>
                <w:rFonts w:asciiTheme="minorHAnsi" w:hAnsiTheme="minorHAnsi" w:cstheme="minorHAnsi"/>
                <w:b/>
                <w:color w:val="000000" w:themeColor="text1"/>
                <w:sz w:val="20"/>
                <w:szCs w:val="20"/>
                <w:highlight w:val="yellow"/>
              </w:rPr>
            </w:r>
            <w:r>
              <w:rPr>
                <w:rFonts w:asciiTheme="minorHAnsi" w:hAnsiTheme="minorHAnsi" w:cstheme="min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2835" w:type="dxa"/>
          </w:tcPr>
          <w:p w14:paraId="406DCE1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4F87144D" w14:textId="77777777">
            <w:pPr>
              <w:pBdr/>
              <w:spacing/>
              <w:ind/>
              <w:rPr>
                <w:rFonts w:asciiTheme="minorHAnsi" w:hAnsiTheme="minorHAnsi" w:cstheme="minorHAnsi"/>
                <w:color w:val="000000" w:themeColor="text1"/>
                <w:sz w:val="20"/>
                <w:szCs w:val="20"/>
                <w:highlight w:val="yellow"/>
              </w:rPr>
            </w:pPr>
            <w:r>
              <w:rPr>
                <w:rFonts w:asciiTheme="minorHAnsi" w:hAnsiTheme="minorHAnsi" w:cstheme="minorHAnsi"/>
                <w:color w:val="000000" w:themeColor="text1"/>
                <w:sz w:val="20"/>
                <w:szCs w:val="20"/>
              </w:rPr>
              <w:t xml:space="preserve">Psychologie clinique</w:t>
            </w:r>
            <w:r>
              <w:rPr>
                <w:rFonts w:asciiTheme="minorHAnsi" w:hAnsiTheme="minorHAnsi" w:cstheme="minorHAnsi"/>
                <w:color w:val="000000" w:themeColor="text1"/>
                <w:sz w:val="20"/>
                <w:szCs w:val="20"/>
                <w:highlight w:val="yellow"/>
              </w:rPr>
            </w:r>
            <w:r>
              <w:rPr>
                <w:rFonts w:asciiTheme="minorHAnsi" w:hAnsiTheme="minorHAnsi" w:cstheme="minorHAnsi"/>
                <w:color w:val="000000" w:themeColor="text1"/>
                <w:sz w:val="20"/>
                <w:szCs w:val="20"/>
                <w:highlight w:val="yellow"/>
              </w:rPr>
            </w:r>
          </w:p>
        </w:tc>
      </w:tr>
      <w:tr>
        <w:trPr/>
        <w:tc>
          <w:tcPr>
            <w:shd w:val="clear" w:color="auto" w:fill="auto"/>
            <w:tcBorders>
              <w:top w:val="single" w:color="000000" w:sz="4" w:space="0"/>
              <w:left w:val="single" w:color="000000" w:sz="4" w:space="0"/>
              <w:bottom w:val="single" w:color="000000" w:sz="4" w:space="0"/>
            </w:tcBorders>
            <w:tcW w:w="2835" w:type="dxa"/>
          </w:tcPr>
          <w:p w14:paraId="2B8665F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946" w:type="dxa"/>
          </w:tcPr>
          <w:p w14:paraId="5E027C3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 clinique, psychopathologie, psychothérapie, paradigmes, méthode cliniques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835" w:type="dxa"/>
          </w:tcPr>
          <w:p w14:paraId="38A2F04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946" w:type="dxa"/>
          </w:tcPr>
          <w:p w14:paraId="212DA46C" w14:textId="54E1D6AD">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Connaissances visées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4BC02007" w14:textId="6F5A9561">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Connaissance de l'histoire de la psychologie et de la psychopathologie.</w:t>
            </w:r>
            <w:r>
              <w:rPr>
                <w:rFonts w:asciiTheme="minorHAnsi" w:hAnsiTheme="minorHAnsi" w:cstheme="minorHAnsi"/>
                <w:color w:val="000000" w:themeColor="text1"/>
                <w:sz w:val="20"/>
                <w:szCs w:val="20"/>
              </w:rPr>
              <w:b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onnaissance d'objets psychopathologiques dans une approche sémiologique et psychopathologique, les névroses, les psychoses, les dépressions.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4F27A31" w14:textId="2C7F0416">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Connaissance des différentes formes cliniques de l'angoisse.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DC62490" w14:textId="08604709">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Connaissance du fonctionnement psychique des groupes, et l'influence possible de la culture dans la formation des symptômes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EF37196" w14:textId="650D618E">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Connaissance de méthodes de la psychologie clinique : l'observation, le bilan, l'étude de cas,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B19547D" w14:textId="1DD78D11">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Connaissance des grands paradigmes psychopathologiques (et leurs méthodes thérapeutiques) : psychanalyse, approche humaniste existentielle et </w:t>
            </w:r>
            <w:r>
              <w:rPr>
                <w:rFonts w:asciiTheme="minorHAnsi" w:hAnsiTheme="minorHAnsi" w:cstheme="minorHAnsi"/>
                <w:color w:val="000000" w:themeColor="text1"/>
                <w:sz w:val="20"/>
                <w:szCs w:val="20"/>
              </w:rPr>
              <w:t xml:space="preserve">transpersonnelle</w:t>
            </w:r>
            <w:r>
              <w:rPr>
                <w:rFonts w:asciiTheme="minorHAnsi" w:hAnsiTheme="minorHAnsi" w:cstheme="minorHAnsi"/>
                <w:color w:val="000000" w:themeColor="text1"/>
                <w:sz w:val="20"/>
                <w:szCs w:val="20"/>
              </w:rPr>
              <w:t xml:space="preserve">, hypnose.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835" w:type="dxa"/>
          </w:tcPr>
          <w:p w14:paraId="0CE7AEA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946" w:type="dxa"/>
          </w:tcPr>
          <w:p w14:paraId="2F246F39" w14:textId="2F1D3B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w:t>
            </w:r>
            <w:r>
              <w:rPr>
                <w:rFonts w:asciiTheme="minorHAnsi" w:hAnsiTheme="minorHAnsi" w:cstheme="minorHAnsi"/>
                <w:color w:val="000000" w:themeColor="text1"/>
                <w:sz w:val="20"/>
                <w:szCs w:val="20"/>
              </w:rPr>
              <w:t xml:space="preserve"> ETCS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835" w:type="dxa"/>
          </w:tcPr>
          <w:p w14:paraId="586FF17D"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946" w:type="dxa"/>
          </w:tcPr>
          <w:p w14:paraId="59902C3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299DB49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p w14:paraId="222591D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593647C2" w14:textId="7C48CC7B">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apacités d'observation, d¹analyse de données lues (lectures critiques d¹articles), et observées (observation critiques de documents vidéo).</w:t>
            </w:r>
            <w:r>
              <w:rPr>
                <w:rFonts w:asciiTheme="minorHAnsi" w:hAnsiTheme="minorHAnsi" w:cstheme="minorHAnsi"/>
                <w:color w:val="000000" w:themeColor="text1"/>
                <w:sz w:val="20"/>
                <w:szCs w:val="20"/>
              </w:rPr>
              <w:b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apacité d¹argumentation, d'expression, de réflexion critique.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26BC0E9" w14:textId="0A0F5D08">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apacité à développer une réflexion épistémologique (épistémologie critique) sur les notions fondamentales des grands modèles en psychopathologie, leurs enjeux théoriques et cliniques.-</w:t>
            </w:r>
            <w:r>
              <w:rPr>
                <w:rFonts w:asciiTheme="minorHAnsi" w:hAnsiTheme="minorHAnsi" w:cstheme="minorHAnsi"/>
                <w:color w:val="000000" w:themeColor="text1"/>
                <w:sz w:val="20"/>
                <w:szCs w:val="20"/>
              </w:rPr>
              <w:b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apacités à repérer les signes cliniques (sémiologie) et les mécanismes psychologiques (analyse psychopathologique) de grandes entités psychopathologiques (névroses, psychoses, addictions).</w:t>
            </w:r>
            <w:r>
              <w:rPr>
                <w:rFonts w:asciiTheme="minorHAnsi" w:hAnsiTheme="minorHAnsi" w:cstheme="minorHAnsi"/>
                <w:color w:val="000000" w:themeColor="text1"/>
                <w:sz w:val="20"/>
                <w:szCs w:val="20"/>
              </w:rPr>
              <w:br/>
              <w:t xml:space="preserve">- </w:t>
            </w:r>
            <w:r>
              <w:rPr>
                <w:rFonts w:asciiTheme="minorHAnsi" w:hAnsiTheme="minorHAnsi" w:cstheme="minorHAnsi"/>
                <w:color w:val="000000" w:themeColor="text1"/>
                <w:sz w:val="20"/>
                <w:szCs w:val="20"/>
              </w:rPr>
              <w:t xml:space="preserve">C</w:t>
            </w:r>
            <w:r>
              <w:rPr>
                <w:rFonts w:asciiTheme="minorHAnsi" w:hAnsiTheme="minorHAnsi" w:cstheme="minorHAnsi"/>
                <w:color w:val="000000" w:themeColor="text1"/>
                <w:sz w:val="20"/>
                <w:szCs w:val="20"/>
              </w:rPr>
              <w:t xml:space="preserve">apacité à repérer les différentes façons d'approcher la souffrance et les troubles psychiques dans les différents courants psychopathologiques.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43C2350A" w14:textId="0A70BAC6">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Capacité à repérer les différentes approches paradigmatiques.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835" w:type="dxa"/>
          </w:tcPr>
          <w:p w14:paraId="2F19B1C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946" w:type="dxa"/>
          </w:tcPr>
          <w:p w14:paraId="07C6492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315305C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591241D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Guy Gimenez</w:t>
            </w:r>
            <w:r>
              <w:rPr>
                <w:rFonts w:asciiTheme="minorHAnsi" w:hAnsiTheme="minorHAnsi" w:cstheme="minorHAnsi"/>
                <w:color w:val="000000" w:themeColor="text1"/>
                <w:sz w:val="20"/>
                <w:szCs w:val="20"/>
              </w:rPr>
              <w:t xml:space="preserve">, Clarisse </w:t>
            </w:r>
            <w:r>
              <w:rPr>
                <w:rFonts w:asciiTheme="minorHAnsi" w:hAnsiTheme="minorHAnsi" w:cstheme="minorHAnsi"/>
                <w:color w:val="000000" w:themeColor="text1"/>
                <w:sz w:val="20"/>
                <w:szCs w:val="20"/>
              </w:rPr>
              <w:t xml:space="preserve">Vollon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7453B18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49CFA187" w14:textId="36E4FB38">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3A24B2C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18"/>
                <w:szCs w:val="18"/>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2CEA9FE8"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29A2517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31C8D2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095F4D10"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Cours magistraux en amphi. La présence aux TD est obligatoire, les étudiants doivent avoir accès à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 dès le début de l'année. Les étudiants trouveront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 la plus grande partie des documents à lire pour les TD et CM (lectures obligatoires, vidéos à voir et étudier).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281C0E05"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Un ou plusieurs textes sont disponibles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 pour chaque cours et TD. Des tuteurs sont disponibles pour suivre les étudiants en difficulté.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75299ED" w14:textId="77777777">
            <w:pPr>
              <w:pBdr/>
              <w:spacing/>
              <w:ind/>
              <w:rPr>
                <w:rFonts w:asciiTheme="minorHAnsi" w:hAnsiTheme="minorHAnsi" w:cstheme="minorHAnsi"/>
                <w:color w:val="000000" w:themeColor="text1"/>
                <w:sz w:val="20"/>
                <w:szCs w:val="20"/>
              </w:rPr>
            </w:pPr>
            <w:r>
              <w:rPr>
                <w:rFonts w:ascii="Calibri" w:hAnsi="Calibri" w:eastAsia="Calibri" w:cs="Calibri"/>
                <w:color w:val="000000" w:themeColor="text1"/>
                <w:sz w:val="20"/>
              </w:rPr>
              <w:t xml:space="preserve">Des tutrices sont à la disposition chaque semaine selon un calendrier disponible sur </w:t>
            </w:r>
            <w:r>
              <w:rPr>
                <w:rFonts w:ascii="Calibri" w:hAnsi="Calibri" w:eastAsia="Calibri" w:cs="Calibri"/>
                <w:color w:val="000000" w:themeColor="text1"/>
                <w:sz w:val="20"/>
              </w:rPr>
              <w:t xml:space="preserve">Ametice</w:t>
            </w:r>
            <w:r>
              <w:rPr>
                <w:rFonts w:ascii="Calibri" w:hAnsi="Calibri" w:eastAsia="Calibri" w:cs="Calibri"/>
                <w:color w:val="000000" w:themeColor="text1"/>
                <w:sz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right w:val="none" w:color="000000" w:sz="4" w:space="0"/>
            </w:tcBorders>
            <w:tcW w:w="2835" w:type="dxa"/>
          </w:tcPr>
          <w:p w14:paraId="5C038B7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946" w:type="dxa"/>
          </w:tcPr>
          <w:p w14:paraId="0F0B0F1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2835" w:type="dxa"/>
          </w:tcPr>
          <w:p w14:paraId="764028A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946" w:type="dxa"/>
          </w:tcPr>
          <w:p w14:paraId="166502D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2835" w:type="dxa"/>
          </w:tcPr>
          <w:p w14:paraId="6D6F8B9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946" w:type="dxa"/>
          </w:tcPr>
          <w:p w14:paraId="6B4AA1B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 clinique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2835" w:type="dxa"/>
          </w:tcPr>
          <w:p w14:paraId="7CF247EF" w14:textId="21BA009E">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946" w:type="dxa"/>
          </w:tcPr>
          <w:p w14:paraId="75BEA7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60 h</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2835" w:type="dxa"/>
          </w:tcPr>
          <w:p w14:paraId="2F162A4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946" w:type="dxa"/>
          </w:tcPr>
          <w:p w14:paraId="0060CF72"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Pedinielli, J.L., Gimenez, G. (2002). Les psychoses de l’adulte. Collection 128. Paris, Nathan. (11000 exemplaires).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D03003D"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Tous les autres textes (plusieurs cours et par TD) sont disponibles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72CE401" w14:textId="77777777">
            <w:pPr>
              <w:pBdr/>
              <w:spacing/>
              <w:ind/>
              <w:rPr>
                <w:rFonts w:hAnsiTheme="minorHAnsi" w:cstheme="minorHAnsi"/>
                <w:color w:val="000000" w:themeColor="text1"/>
                <w:sz w:val="20"/>
                <w:szCs w:val="20"/>
              </w:rPr>
            </w:pPr>
            <w:r>
              <w:rPr>
                <w:rFonts w:asciiTheme="minorHAnsi" w:hAnsiTheme="minorHAnsi" w:cstheme="minorHAnsi"/>
                <w:color w:val="000000" w:themeColor="text1"/>
                <w:sz w:val="20"/>
                <w:szCs w:val="20"/>
              </w:rPr>
              <w:t xml:space="preserve">Des vidéos illustratives sont aussi disponibles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 </w:t>
            </w:r>
            <w:r>
              <w:rPr>
                <w:rFonts w:hAnsiTheme="minorHAnsi" w:cstheme="minorHAnsi"/>
                <w:color w:val="000000" w:themeColor="text1"/>
                <w:sz w:val="20"/>
                <w:szCs w:val="20"/>
              </w:rPr>
            </w:r>
            <w:r>
              <w:rPr>
                <w:rFonts w:hAnsiTheme="minorHAnsi" w:cstheme="minorHAnsi"/>
                <w:color w:val="000000" w:themeColor="text1"/>
                <w:sz w:val="20"/>
                <w:szCs w:val="20"/>
              </w:rPr>
            </w:r>
          </w:p>
          <w:p w14:paraId="3033B2EF" w14:textId="77777777">
            <w:pPr>
              <w:pBdr/>
              <w:spacing/>
              <w:ind/>
              <w:rPr>
                <w:rFonts w:ascii="undefined" w:hAnsiTheme="minorHAnsi" w:cstheme="minorHAnsi"/>
                <w:color w:val="000000" w:themeColor="text1"/>
                <w:sz w:val="20"/>
                <w:szCs w:val="20"/>
              </w:rPr>
            </w:pPr>
            <w:r>
              <w:rPr>
                <w:rFonts w:asciiTheme="minorHAnsi" w:hAnsiTheme="minorHAnsi" w:cstheme="minorHAnsi"/>
                <w:color w:val="000000" w:themeColor="text1"/>
                <w:sz w:val="20"/>
                <w:szCs w:val="20"/>
              </w:rPr>
              <w:t xml:space="preserve">Les étudiants sont invités à s’auto-évaluer pour chaque cours/TD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w:t>
            </w:r>
            <w:r>
              <w:rPr>
                <w:rFonts w:ascii="undefined" w:hAnsiTheme="minorHAnsi" w:cstheme="minorHAnsi"/>
                <w:color w:val="000000" w:themeColor="text1"/>
                <w:sz w:val="20"/>
                <w:szCs w:val="20"/>
              </w:rPr>
            </w:r>
            <w:r>
              <w:rPr>
                <w:rFonts w:ascii="undefined"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835" w:type="dxa"/>
          </w:tcPr>
          <w:p w14:paraId="06DCE64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946" w:type="dxa"/>
          </w:tcPr>
          <w:p w14:paraId="6379E69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2835" w:type="dxa"/>
          </w:tcPr>
          <w:p w14:paraId="6B298EA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946" w:type="dxa"/>
          </w:tcPr>
          <w:p w14:paraId="3453BCB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 xml:space="preserve">Contrôle continu constitué par un dossier à rendre (30% de la note) et un contrôle sur table lors du dernier TD (1h, 70% de la note). </w:t>
            </w:r>
            <w:r>
              <w:rPr>
                <w:rFonts w:asciiTheme="minorHAnsi" w:hAnsiTheme="minorHAnsi" w:cstheme="minorHAnsi"/>
                <w:i/>
                <w:iCs/>
                <w:color w:val="000000" w:themeColor="text1"/>
                <w:sz w:val="20"/>
                <w:szCs w:val="20"/>
              </w:rPr>
            </w:r>
            <w:r>
              <w:rPr>
                <w:rFonts w:asciiTheme="minorHAnsi" w:hAnsiTheme="minorHAnsi" w:cstheme="minorHAnsi"/>
                <w:i/>
                <w:iCs/>
                <w:color w:val="000000" w:themeColor="text1"/>
                <w:sz w:val="20"/>
                <w:szCs w:val="20"/>
              </w:rPr>
            </w:r>
          </w:p>
        </w:tc>
      </w:tr>
    </w:tbl>
    <w:p w14:paraId="4AA76AC3"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3B798E1"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570A1A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rPr>
            </w:pPr>
            <w:r>
              <w:rPr>
                <w:rFonts w:asciiTheme="minorHAnsi" w:hAnsiTheme="minorHAnsi" w:cstheme="minorHAnsi"/>
                <w:b/>
                <w:color w:val="000000" w:themeColor="text1"/>
              </w:rPr>
            </w:r>
            <w:r>
              <w:rPr>
                <w:rFonts w:asciiTheme="minorHAnsi" w:hAnsiTheme="minorHAnsi" w:cstheme="minorHAnsi"/>
                <w:b/>
                <w:color w:val="000000" w:themeColor="text1"/>
              </w:rPr>
            </w:r>
            <w:r>
              <w:rPr>
                <w:rFonts w:asciiTheme="minorHAnsi" w:hAnsiTheme="minorHAnsi" w:cstheme="minorHAnsi"/>
                <w:b/>
                <w:color w:val="000000" w:themeColor="text1"/>
              </w:rPr>
            </w:r>
          </w:p>
        </w:tc>
      </w:tr>
      <w:tr>
        <w:trPr>
          <w:trHeight w:val="220"/>
        </w:trPr>
        <w:tc>
          <w:tcPr>
            <w:shd w:val="clear" w:color="auto" w:fill="auto"/>
            <w:tcBorders>
              <w:left w:val="single" w:color="000000" w:sz="4" w:space="0"/>
              <w:bottom w:val="single" w:color="000000" w:sz="4" w:space="0"/>
            </w:tcBorders>
            <w:tcW w:w="3402" w:type="dxa"/>
          </w:tcPr>
          <w:p w14:paraId="11069E5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Code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F5CF6B" w14:textId="0F5A905F">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highlight w:val="yellow"/>
              </w:rPr>
            </w:pPr>
            <w:r>
              <w:rPr>
                <w:rFonts w:asciiTheme="minorHAnsi" w:hAnsiTheme="minorHAnsi" w:cstheme="minorHAnsi"/>
                <w:b/>
                <w:color w:val="000000" w:themeColor="text1"/>
                <w:sz w:val="22"/>
                <w:szCs w:val="22"/>
              </w:rPr>
              <w:t xml:space="preserve">HPS1U</w:t>
            </w:r>
            <w:r>
              <w:rPr>
                <w:rFonts w:asciiTheme="minorHAnsi" w:hAnsiTheme="minorHAnsi" w:cstheme="minorHAnsi"/>
                <w:b/>
                <w:color w:val="000000" w:themeColor="text1"/>
                <w:sz w:val="22"/>
                <w:szCs w:val="22"/>
              </w:rPr>
              <w:t xml:space="preserve">34</w:t>
            </w:r>
            <w:r>
              <w:rPr>
                <w:rFonts w:asciiTheme="minorHAnsi" w:hAnsiTheme="minorHAnsi" w:cstheme="minorHAnsi"/>
                <w:b/>
                <w:color w:val="000000" w:themeColor="text1"/>
                <w:highlight w:val="yellow"/>
              </w:rPr>
            </w:r>
            <w:r>
              <w:rPr>
                <w:rFonts w:asciiTheme="minorHAnsi" w:hAnsiTheme="minorHAnsi" w:cstheme="minorHAnsi"/>
                <w:b/>
                <w:color w:val="000000" w:themeColor="text1"/>
                <w:highlight w:val="yellow"/>
              </w:rPr>
            </w:r>
          </w:p>
        </w:tc>
      </w:tr>
      <w:tr>
        <w:trPr/>
        <w:tc>
          <w:tcPr>
            <w:shd w:val="clear" w:color="auto" w:fill="auto"/>
            <w:tcBorders>
              <w:left w:val="single" w:color="000000" w:sz="4" w:space="0"/>
              <w:bottom w:val="single" w:color="000000" w:sz="4" w:space="0"/>
            </w:tcBorders>
            <w:tcW w:w="3402" w:type="dxa"/>
          </w:tcPr>
          <w:p w14:paraId="4E8A708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0CE4F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 du développement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59F69E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AF3FC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Développement précoce, perception, motricité, cognition, langage, émotion, social, attachement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4EAED4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39D949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Cette UE porte sur le développement précoce de l’enfant (de la conception à l’âge de 2-3 ans). Elle présente les principes fondateurs des différentes approches en psychologie du développement : théories, auteurs et métho</w:t>
            </w:r>
            <w:r>
              <w:rPr>
                <w:rFonts w:asciiTheme="minorHAnsi" w:hAnsiTheme="minorHAnsi" w:cstheme="minorHAnsi"/>
                <w:color w:val="000000" w:themeColor="text1"/>
                <w:sz w:val="20"/>
                <w:szCs w:val="20"/>
              </w:rPr>
              <w:t xml:space="preserve">dologies. Dans un premier temps seront abordé le développement perceptivo-moteur, la cognition en général et le langage (Gesell, Piaget...). Puis dans un second temps, le développement socio émotionnel et affectif du jeune enfant (Wallon, Bruner, Bowlby…).</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036411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C6C273D" w14:textId="252D994C">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w:t>
            </w:r>
            <w:r>
              <w:rPr>
                <w:rFonts w:asciiTheme="minorHAnsi" w:hAnsiTheme="minorHAnsi" w:cstheme="minorHAnsi"/>
                <w:color w:val="000000" w:themeColor="text1"/>
                <w:sz w:val="20"/>
                <w:szCs w:val="20"/>
              </w:rPr>
              <w:t xml:space="preserve">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3C50C99"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981418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789409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77FA81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Connaissance et compréhension des grandes questions, des auteurs historiques et des méthodologies de la psychologie du développeme</w:t>
            </w:r>
            <w:r>
              <w:rPr>
                <w:rFonts w:asciiTheme="minorHAnsi" w:hAnsiTheme="minorHAnsi" w:cstheme="minorHAnsi"/>
                <w:color w:val="000000" w:themeColor="text1"/>
                <w:sz w:val="20"/>
                <w:szCs w:val="20"/>
              </w:rPr>
              <w:t xml:space="preserve">nt. Maîtrise des trajectoires et des mécanismes en jeu dans le développement de la conception à l’âge de 2 ans : fonctions sensori-motrices, cognitives, socio-émotionnelles, communicatives et interactives, chez l’enfant au développement normal et atypique.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68AF7C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C4F3E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FA1B31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5F9D31" w14:textId="727CD249">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Jover Marianne </w:t>
            </w:r>
            <w:r>
              <w:rPr>
                <w:rFonts w:asciiTheme="minorHAnsi" w:hAnsiTheme="minorHAnsi" w:cstheme="minorHAnsi"/>
                <w:color w:val="000000" w:themeColor="text1"/>
                <w:sz w:val="20"/>
                <w:szCs w:val="20"/>
              </w:rPr>
              <w:t xml:space="preserve">&amp; Céline Scola</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1510B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Intervenants</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2EEF0F" w14:textId="737B26E8">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54DE8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Modalités d’organisation et de suivi </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EA90F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Cours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AC2E40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Modalités pédagogiques </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1B2653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36h CM 24h TD</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124F02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11D38F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31F5C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30916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225B9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1F7AF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5129CA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Volume horaire global (par étudiant)</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110F7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60 h</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857E1D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p w14:paraId="4E7F2C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FDDE3D5"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Baudier, A. &amp; Céleste, B. (2014). Le développement affectif et social du jeune enfant. Paris : Armand Colin.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7E7A59D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rPr>
            </w:pPr>
            <w:r>
              <w:rPr>
                <w:rFonts w:asciiTheme="minorHAnsi" w:hAnsiTheme="minorHAnsi" w:cstheme="minorHAnsi"/>
                <w:color w:val="000000" w:themeColor="text1"/>
                <w:sz w:val="20"/>
                <w:szCs w:val="20"/>
              </w:rPr>
              <w:t xml:space="preserve">De </w:t>
            </w:r>
            <w:r>
              <w:rPr>
                <w:rFonts w:asciiTheme="minorHAnsi" w:hAnsiTheme="minorHAnsi" w:cstheme="minorHAnsi"/>
                <w:color w:val="000000" w:themeColor="text1"/>
                <w:sz w:val="20"/>
                <w:szCs w:val="20"/>
              </w:rPr>
              <w:t xml:space="preserve">Boysson-Bardies</w:t>
            </w:r>
            <w:r>
              <w:rPr>
                <w:rFonts w:asciiTheme="minorHAnsi" w:hAnsiTheme="minorHAnsi" w:cstheme="minorHAnsi"/>
                <w:color w:val="000000" w:themeColor="text1"/>
                <w:sz w:val="20"/>
                <w:szCs w:val="20"/>
              </w:rPr>
              <w:t xml:space="preserve">, B. (1999). Comment la parole vient aux enfants. Paris : Odile Jacob. (</w:t>
            </w:r>
            <w:r>
              <w:rPr>
                <w:rFonts w:asciiTheme="minorHAnsi" w:hAnsiTheme="minorHAnsi" w:cstheme="minorHAnsi"/>
                <w:color w:val="000000" w:themeColor="text1"/>
                <w:sz w:val="20"/>
                <w:szCs w:val="20"/>
              </w:rPr>
              <w:t xml:space="preserve">CollectionOpus</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rPr>
            </w:r>
            <w:r>
              <w:rPr>
                <w:rFonts w:asciiTheme="minorHAnsi" w:hAnsiTheme="minorHAnsi" w:cstheme="minorHAnsi"/>
                <w:color w:val="000000" w:themeColor="text1"/>
                <w:sz w:val="20"/>
              </w:rPr>
            </w:r>
          </w:p>
          <w:p w14:paraId="36D46F1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rPr>
            </w:pPr>
            <w:r>
              <w:rPr>
                <w:rFonts w:asciiTheme="minorHAnsi" w:hAnsiTheme="minorHAnsi" w:cstheme="minorHAnsi"/>
                <w:color w:val="000000" w:themeColor="text1"/>
                <w:sz w:val="20"/>
                <w:szCs w:val="20"/>
              </w:rPr>
              <w:t xml:space="preserve">Clément, C. &amp; Demont, E. (2017). 21 grandes notions de psychologie du développement. </w:t>
            </w:r>
            <w:r>
              <w:rPr>
                <w:rFonts w:asciiTheme="minorHAnsi" w:hAnsiTheme="minorHAnsi" w:cstheme="minorHAnsi"/>
                <w:color w:val="000000" w:themeColor="text1"/>
                <w:sz w:val="20"/>
                <w:szCs w:val="20"/>
              </w:rPr>
              <w:t xml:space="preserve">Malkoff</w:t>
            </w:r>
            <w:r>
              <w:rPr>
                <w:rFonts w:asciiTheme="minorHAnsi" w:hAnsiTheme="minorHAnsi" w:cstheme="minorHAnsi"/>
                <w:color w:val="000000" w:themeColor="text1"/>
                <w:sz w:val="20"/>
                <w:szCs w:val="20"/>
              </w:rPr>
              <w:t xml:space="preserve"> : Dunod.</w:t>
            </w:r>
            <w:r>
              <w:rPr>
                <w:rFonts w:asciiTheme="minorHAnsi" w:hAnsiTheme="minorHAnsi" w:cstheme="minorHAnsi"/>
                <w:color w:val="000000" w:themeColor="text1"/>
                <w:sz w:val="20"/>
              </w:rPr>
            </w:r>
            <w:r>
              <w:rPr>
                <w:rFonts w:asciiTheme="minorHAnsi" w:hAnsiTheme="minorHAnsi" w:cstheme="minorHAnsi"/>
                <w:color w:val="000000" w:themeColor="text1"/>
                <w:sz w:val="20"/>
              </w:rPr>
            </w:r>
          </w:p>
          <w:p w14:paraId="0EB64F79" w14:textId="77777777">
            <w:pPr>
              <w:pBdr>
                <w:top w:val="none" w:color="000000" w:sz="4" w:space="0"/>
                <w:left w:val="none" w:color="000000" w:sz="4" w:space="0"/>
                <w:bottom w:val="none" w:color="000000" w:sz="4" w:space="0"/>
                <w:right w:val="none" w:color="000000" w:sz="4" w:space="0"/>
                <w:between w:val="none" w:color="000000" w:sz="4" w:space="0"/>
              </w:pBdr>
              <w:spacing/>
              <w:ind/>
              <w:rPr>
                <w:rFonts w:hAnsiTheme="minorHAnsi" w:cstheme="minorHAnsi"/>
                <w:color w:val="000000" w:themeColor="text1"/>
                <w:sz w:val="20"/>
              </w:rPr>
            </w:pPr>
            <w:r>
              <w:rPr>
                <w:rFonts w:asciiTheme="minorHAnsi" w:hAnsiTheme="minorHAnsi" w:cstheme="minorHAnsi"/>
                <w:color w:val="000000" w:themeColor="text1"/>
                <w:sz w:val="20"/>
              </w:rPr>
              <w:t xml:space="preserve">Lehalle</w:t>
            </w:r>
            <w:r>
              <w:rPr>
                <w:rFonts w:asciiTheme="minorHAnsi" w:hAnsiTheme="minorHAnsi" w:cstheme="minorHAnsi"/>
                <w:color w:val="000000" w:themeColor="text1"/>
                <w:sz w:val="20"/>
              </w:rPr>
              <w:t xml:space="preserve">, H., &amp; </w:t>
            </w:r>
            <w:r>
              <w:rPr>
                <w:rFonts w:asciiTheme="minorHAnsi" w:hAnsiTheme="minorHAnsi" w:cstheme="minorHAnsi"/>
                <w:color w:val="000000" w:themeColor="text1"/>
                <w:sz w:val="20"/>
              </w:rPr>
              <w:t xml:space="preserve">Mellier</w:t>
            </w:r>
            <w:r>
              <w:rPr>
                <w:rFonts w:asciiTheme="minorHAnsi" w:hAnsiTheme="minorHAnsi" w:cstheme="minorHAnsi"/>
                <w:color w:val="000000" w:themeColor="text1"/>
                <w:sz w:val="20"/>
              </w:rPr>
              <w:t xml:space="preserve">, D. (2021). Psychologie du développement-4e éd. : Enfance et adolescence. Dunod.</w:t>
            </w:r>
            <w:r>
              <w:rPr>
                <w:rFonts w:hAnsiTheme="minorHAnsi" w:cstheme="minorHAnsi"/>
                <w:color w:val="000000" w:themeColor="text1"/>
                <w:sz w:val="20"/>
              </w:rPr>
            </w:r>
            <w:r>
              <w:rPr>
                <w:rFonts w:hAnsiTheme="minorHAnsi" w:cstheme="minorHAnsi"/>
                <w:color w:val="000000" w:themeColor="text1"/>
                <w:sz w:val="20"/>
              </w:rPr>
            </w:r>
          </w:p>
          <w:p w14:paraId="03139C7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rPr>
              <w:t xml:space="preserve">Miljkovitch, R., </w:t>
            </w:r>
            <w:r>
              <w:rPr>
                <w:rFonts w:asciiTheme="minorHAnsi" w:hAnsiTheme="minorHAnsi" w:cstheme="minorHAnsi"/>
                <w:color w:val="000000" w:themeColor="text1"/>
                <w:sz w:val="20"/>
              </w:rPr>
              <w:t xml:space="preserve">Morange-Majoux</w:t>
            </w:r>
            <w:r>
              <w:rPr>
                <w:rFonts w:asciiTheme="minorHAnsi" w:hAnsiTheme="minorHAnsi" w:cstheme="minorHAnsi"/>
                <w:color w:val="000000" w:themeColor="text1"/>
                <w:sz w:val="20"/>
              </w:rPr>
              <w:t xml:space="preserve">, F., &amp; Sander, E. (2017). Psychologie du développement. Elsevier </w:t>
            </w:r>
            <w:r>
              <w:rPr>
                <w:rFonts w:asciiTheme="minorHAnsi" w:hAnsiTheme="minorHAnsi" w:cstheme="minorHAnsi"/>
                <w:color w:val="000000" w:themeColor="text1"/>
                <w:sz w:val="20"/>
              </w:rPr>
              <w:t xml:space="preserve">Health</w:t>
            </w:r>
            <w:r>
              <w:rPr>
                <w:rFonts w:asciiTheme="minorHAnsi" w:hAnsiTheme="minorHAnsi" w:cstheme="minorHAnsi"/>
                <w:color w:val="000000" w:themeColor="text1"/>
                <w:sz w:val="20"/>
              </w:rPr>
              <w:t xml:space="preserve"> 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2265597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undefined" w:hAnsiTheme="minorHAnsi" w:cstheme="minorHAnsi"/>
                <w:color w:val="000000" w:themeColor="text1"/>
                <w:sz w:val="20"/>
                <w:szCs w:val="20"/>
              </w:rPr>
            </w:pPr>
            <w:r>
              <w:rPr>
                <w:rFonts w:asciiTheme="minorHAnsi" w:hAnsiTheme="minorHAnsi" w:cstheme="minorHAnsi"/>
                <w:color w:val="000000" w:themeColor="text1"/>
                <w:sz w:val="20"/>
                <w:szCs w:val="20"/>
              </w:rPr>
              <w:t xml:space="preserve">Vauclair</w:t>
            </w:r>
            <w:r>
              <w:rPr>
                <w:rFonts w:asciiTheme="minorHAnsi" w:hAnsiTheme="minorHAnsi" w:cstheme="minorHAnsi"/>
                <w:color w:val="000000" w:themeColor="text1"/>
                <w:sz w:val="20"/>
                <w:szCs w:val="20"/>
              </w:rPr>
              <w:t xml:space="preserve">, J. (2008). Développement du jeune enfant. Motricité, </w:t>
            </w:r>
            <w:r>
              <w:rPr>
                <w:rFonts w:ascii="undefined" w:hAnsiTheme="minorHAnsi" w:cstheme="minorHAnsi"/>
                <w:color w:val="000000" w:themeColor="text1"/>
                <w:sz w:val="20"/>
                <w:szCs w:val="20"/>
              </w:rPr>
            </w:r>
            <w:r>
              <w:rPr>
                <w:rFonts w:ascii="undefined" w:hAnsiTheme="minorHAnsi" w:cstheme="minorHAnsi"/>
                <w:color w:val="000000" w:themeColor="text1"/>
                <w:sz w:val="20"/>
                <w:szCs w:val="20"/>
              </w:rPr>
            </w:r>
          </w:p>
          <w:p w14:paraId="25260FD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undefined" w:hAnsiTheme="minorHAnsi" w:cstheme="minorHAnsi"/>
                <w:color w:val="000000" w:themeColor="text1"/>
                <w:sz w:val="20"/>
              </w:rPr>
            </w:pPr>
            <w:r>
              <w:rPr>
                <w:rFonts w:asciiTheme="minorHAnsi" w:hAnsiTheme="minorHAnsi" w:cstheme="minorHAnsi"/>
                <w:color w:val="000000" w:themeColor="text1"/>
                <w:sz w:val="20"/>
                <w:szCs w:val="20"/>
              </w:rPr>
              <w:t xml:space="preserve">Perception, Cognition. Paris : Belin.</w:t>
            </w:r>
            <w:r>
              <w:rPr>
                <w:rFonts w:ascii="undefined" w:hAnsiTheme="minorHAnsi" w:cstheme="minorHAnsi"/>
                <w:color w:val="000000" w:themeColor="text1"/>
                <w:sz w:val="20"/>
              </w:rPr>
            </w:r>
            <w:r>
              <w:rPr>
                <w:rFonts w:ascii="undefined" w:hAnsiTheme="minorHAnsi" w:cstheme="minorHAnsi"/>
                <w:color w:val="000000" w:themeColor="text1"/>
                <w:sz w:val="20"/>
              </w:rPr>
            </w:r>
          </w:p>
        </w:tc>
      </w:tr>
      <w:tr>
        <w:trPr/>
        <w:tc>
          <w:tcPr>
            <w:shd w:val="clear" w:color="auto" w:fill="e6e6e6"/>
            <w:tcBorders>
              <w:top w:val="single" w:color="000000" w:sz="4" w:space="0"/>
              <w:left w:val="single" w:color="000000" w:sz="4" w:space="0"/>
              <w:bottom w:val="single" w:color="000000" w:sz="4" w:space="0"/>
            </w:tcBorders>
            <w:tcW w:w="3402" w:type="dxa"/>
          </w:tcPr>
          <w:p w14:paraId="19BE722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A2D8C3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auto" w:sz="4" w:space="0"/>
            </w:tcBorders>
            <w:tcW w:w="3402" w:type="dxa"/>
          </w:tcPr>
          <w:p w14:paraId="5C60404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auto" w:sz="4" w:space="0"/>
              <w:right w:val="single" w:color="000000" w:sz="4" w:space="0"/>
            </w:tcBorders>
            <w:tcW w:w="6236" w:type="dxa"/>
          </w:tcPr>
          <w:p w14:paraId="738E2287" w14:textId="034A003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 xml:space="preserve">CC</w:t>
            </w:r>
            <w:r>
              <w:rPr>
                <w:rFonts w:asciiTheme="minorHAnsi" w:hAnsiTheme="minorHAnsi" w:cstheme="minorHAnsi"/>
                <w:i/>
                <w:iCs/>
                <w:color w:val="000000" w:themeColor="text1"/>
                <w:sz w:val="20"/>
                <w:szCs w:val="20"/>
              </w:rPr>
              <w:t xml:space="preserve">T</w:t>
            </w:r>
            <w:r>
              <w:rPr>
                <w:rFonts w:asciiTheme="minorHAnsi" w:hAnsiTheme="minorHAnsi" w:cstheme="minorHAnsi"/>
                <w:i/>
                <w:iCs/>
                <w:color w:val="000000" w:themeColor="text1"/>
                <w:sz w:val="20"/>
                <w:szCs w:val="20"/>
              </w:rPr>
              <w:t xml:space="preserve"> (1 examen en TD 25% + 1 contrôle terminal 75%)</w:t>
            </w:r>
            <w:r>
              <w:rPr>
                <w:rFonts w:asciiTheme="minorHAnsi" w:hAnsiTheme="minorHAnsi" w:cstheme="minorHAnsi"/>
                <w:i/>
                <w:iCs/>
                <w:color w:val="000000" w:themeColor="text1"/>
                <w:sz w:val="20"/>
                <w:szCs w:val="20"/>
              </w:rPr>
            </w:r>
            <w:r>
              <w:rPr>
                <w:rFonts w:asciiTheme="minorHAnsi" w:hAnsiTheme="minorHAnsi" w:cstheme="minorHAnsi"/>
                <w:i/>
                <w:iCs/>
                <w:color w:val="000000" w:themeColor="text1"/>
                <w:sz w:val="20"/>
                <w:szCs w:val="20"/>
              </w:rPr>
            </w:r>
          </w:p>
        </w:tc>
      </w:tr>
    </w:tbl>
    <w:p w14:paraId="6D91B890"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F98B932" w14:textId="0ECDCCF8">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83CF321" w14:textId="2547F2D6">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43BB7E9" w14:textId="120B3A04">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3BD7329" w14:textId="25F7BF3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C6F7A39"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C17FF36" w14:textId="3F61F875">
      <w:pPr>
        <w:pBdr/>
        <w:tabs>
          <w:tab w:val="left" w:leader="none" w:pos="2220"/>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FA6C23D"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B766F4E"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998F8A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rPr>
            </w:pPr>
            <w:r>
              <w:rPr>
                <w:rFonts w:asciiTheme="minorHAnsi" w:hAnsiTheme="minorHAnsi" w:cstheme="minorHAnsi"/>
                <w:b/>
                <w:color w:val="000000" w:themeColor="text1"/>
              </w:rPr>
            </w:r>
            <w:r>
              <w:rPr>
                <w:rFonts w:asciiTheme="minorHAnsi" w:hAnsiTheme="minorHAnsi" w:cstheme="minorHAnsi"/>
                <w:b/>
                <w:color w:val="000000" w:themeColor="text1"/>
              </w:rPr>
            </w:r>
            <w:r>
              <w:rPr>
                <w:rFonts w:asciiTheme="minorHAnsi" w:hAnsiTheme="minorHAnsi" w:cstheme="minorHAnsi"/>
                <w:b/>
                <w:color w:val="000000" w:themeColor="text1"/>
              </w:rPr>
            </w:r>
          </w:p>
        </w:tc>
      </w:tr>
      <w:tr>
        <w:trPr>
          <w:trHeight w:val="220"/>
        </w:trPr>
        <w:tc>
          <w:tcPr>
            <w:shd w:val="clear" w:color="auto" w:fill="auto"/>
            <w:tcBorders>
              <w:left w:val="single" w:color="000000" w:sz="4" w:space="0"/>
              <w:bottom w:val="single" w:color="000000" w:sz="4" w:space="0"/>
            </w:tcBorders>
            <w:tcW w:w="3402" w:type="dxa"/>
          </w:tcPr>
          <w:p w14:paraId="36AEFBD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Code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FF83AC" w14:textId="5EE3A5DA">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SNR1U0</w:t>
            </w:r>
            <w:r>
              <w:rPr>
                <w:rFonts w:asciiTheme="minorHAnsi" w:hAnsiTheme="minorHAnsi" w:cstheme="minorHAnsi"/>
                <w:b/>
                <w:color w:val="000000" w:themeColor="text1"/>
                <w:sz w:val="22"/>
                <w:szCs w:val="22"/>
              </w:rPr>
              <w:t xml:space="preserve">6</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BBF5D1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62303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Neurosciences 1 : De la cellule au neurone</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B04094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4E449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CE49A3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8FCE21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14:ligatures w14:val="none"/>
              </w:rPr>
            </w:pPr>
            <w:r>
              <w:rPr>
                <w:rFonts w:asciiTheme="minorHAnsi" w:hAnsiTheme="minorHAnsi" w:cstheme="minorHAnsi"/>
                <w:bCs/>
                <w:color w:val="000000" w:themeColor="text1"/>
                <w:sz w:val="20"/>
                <w:szCs w:val="20"/>
              </w:rPr>
            </w:r>
            <w:r>
              <w:rPr>
                <w:rFonts w:asciiTheme="minorHAnsi" w:hAnsiTheme="minorHAnsi" w:cstheme="minorHAnsi"/>
                <w:color w:val="000000" w:themeColor="text1"/>
                <w:sz w:val="20"/>
                <w:szCs w:val="20"/>
                <w:lang w:val="undefined"/>
              </w:rPr>
              <w:t xml:space="preserve">Dans cette UE, nous aborderons les bases de la biologie cellulaire en étudiant l'organisation de la matière vivante, l'architecture et le fonctionnement de la cellule. Nous présenterons notamment les principales biomolécules, le rôle de l'ADN dans l'expres</w:t>
            </w:r>
            <w:r>
              <w:rPr>
                <w:rFonts w:asciiTheme="minorHAnsi" w:hAnsiTheme="minorHAnsi" w:cstheme="minorHAnsi"/>
                <w:color w:val="000000" w:themeColor="text1"/>
                <w:sz w:val="20"/>
                <w:szCs w:val="20"/>
                <w:lang w:val="undefined"/>
              </w:rPr>
              <w:t xml:space="preserve">sion des gènes (transcription et traduction), ainsi que les mécanismes de la division cellulaire (mitose) et leurs liens avec certaines pathologies, comme le cancer. Enfin, nous introduirons les bases des neurosciences en décrivant l'organisation et le fon</w:t>
            </w:r>
            <w:r>
              <w:rPr>
                <w:rFonts w:asciiTheme="minorHAnsi" w:hAnsiTheme="minorHAnsi" w:cstheme="minorHAnsi"/>
                <w:color w:val="000000" w:themeColor="text1"/>
                <w:sz w:val="20"/>
                <w:szCs w:val="20"/>
                <w:lang w:val="undefined"/>
              </w:rPr>
              <w:t xml:space="preserve">ctionnement des cellules du système nerveux (neurones et cellules gliales), ainsi que les grands principes d'organisation du système nerveux.</w:t>
            </w:r>
            <w:r>
              <w:rPr>
                <w:rFonts w:asciiTheme="minorHAnsi" w:hAnsiTheme="minorHAnsi" w:cstheme="minorHAnsi"/>
                <w:color w:val="000000" w:themeColor="text1"/>
                <w:sz w:val="20"/>
                <w:szCs w:val="20"/>
                <w:lang w:val="undefined" w:bidi="undefined"/>
              </w:rPr>
            </w:r>
            <w:r>
              <w:rPr>
                <w:rFonts w:asciiTheme="minorHAnsi" w:hAnsiTheme="minorHAnsi" w:cstheme="minorHAnsi"/>
                <w:color w:val="000000" w:themeColor="text1"/>
                <w:sz w:val="20"/>
                <w:szCs w:val="20"/>
                <w:lang w:val="undefined"/>
              </w:rPr>
            </w:r>
          </w:p>
        </w:tc>
      </w:tr>
      <w:tr>
        <w:trPr/>
        <w:tc>
          <w:tcPr>
            <w:shd w:val="clear" w:color="auto" w:fill="auto"/>
            <w:tcBorders>
              <w:top w:val="single" w:color="000000" w:sz="4" w:space="0"/>
              <w:left w:val="single" w:color="000000" w:sz="4" w:space="0"/>
              <w:bottom w:val="single" w:color="000000" w:sz="4" w:space="0"/>
            </w:tcBorders>
            <w:tcW w:w="3402" w:type="dxa"/>
          </w:tcPr>
          <w:p w14:paraId="54A812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EE2713C" w14:textId="268CA1ED">
            <w:pPr>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3</w:t>
            </w:r>
            <w:r>
              <w:rPr>
                <w:rFonts w:asciiTheme="minorHAnsi" w:hAnsiTheme="minorHAnsi" w:cstheme="minorHAnsi"/>
                <w:bCs/>
                <w:color w:val="000000" w:themeColor="text1"/>
                <w:sz w:val="20"/>
                <w:szCs w:val="20"/>
              </w:rPr>
              <w:t xml:space="preserve"> ECTS</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DD9C002"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5A7CBE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D2560A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F97C4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Conna</w:t>
            </w:r>
            <w:r>
              <w:rPr>
                <w:rFonts w:asciiTheme="minorHAnsi" w:hAnsiTheme="minorHAnsi" w:cstheme="minorHAnsi"/>
                <w:bCs/>
                <w:color w:val="000000" w:themeColor="text1"/>
                <w:sz w:val="20"/>
                <w:szCs w:val="20"/>
              </w:rPr>
              <w:t xml:space="preserve">î</w:t>
            </w:r>
            <w:r>
              <w:rPr>
                <w:rFonts w:asciiTheme="minorHAnsi" w:hAnsiTheme="minorHAnsi" w:cstheme="minorHAnsi"/>
                <w:bCs/>
                <w:color w:val="000000" w:themeColor="text1"/>
                <w:sz w:val="20"/>
                <w:szCs w:val="20"/>
              </w:rPr>
              <w:t xml:space="preserve">tre l’organisation d’une cellule type, son fonctionnement basique, afin de faciliter la compréhension de l’organisation et de la physiologie du neurone.</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077DA8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08256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D66991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40BE462" w14:textId="6A27CC73">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Julie Koenig</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72217A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Intervenants</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1F1807D" w14:textId="13DB5A9B">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Franck Chaillan</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469D0D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Modalités d’organisation et de suivi</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7DFB0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A02DE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Modalités pédagogiques  </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0CF66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E0959C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7C6F09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rHeight w:val="394"/>
        </w:trPr>
        <w:tc>
          <w:tcPr>
            <w:shd w:val="clear" w:color="auto" w:fill="auto"/>
            <w:tcBorders>
              <w:left w:val="single" w:color="000000" w:sz="4" w:space="0"/>
              <w:bottom w:val="single" w:color="000000" w:sz="4" w:space="0"/>
            </w:tcBorders>
            <w:tcW w:w="3402" w:type="dxa"/>
          </w:tcPr>
          <w:p w14:paraId="3891852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1AD194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1C47427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Volume horaire global (par étudiant)</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74CDB23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t xml:space="preserve">24 h : 16h CM / 6h TD</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D1D0CA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7BD1B1" w14:textId="77777777">
            <w:pPr>
              <w:pBdr>
                <w:top w:val="none" w:color="000000" w:sz="4" w:space="0"/>
                <w:left w:val="none" w:color="000000" w:sz="4" w:space="0"/>
                <w:bottom w:val="none" w:color="000000" w:sz="4" w:space="0"/>
                <w:right w:val="none" w:color="000000" w:sz="4" w:space="0"/>
                <w:between w:val="none" w:color="000000" w:sz="4" w:space="0"/>
              </w:pBdr>
              <w:spacing/>
              <w:ind w:firstLine="0" w:left="0"/>
              <w:rPr>
                <w:rFonts w:asciiTheme="minorHAnsi" w:hAnsiTheme="minorHAnsi" w:cstheme="minorHAnsi"/>
                <w:color w:val="000000" w:themeColor="text1"/>
                <w:sz w:val="20"/>
                <w:szCs w:val="20"/>
                <w14:ligatures w14:val="none"/>
              </w:rPr>
            </w:pPr>
            <w:r>
              <w:rPr>
                <w:rFonts w:eastAsia="Times New Roman" w:asciiTheme="minorHAnsi" w:hAnsiTheme="minorHAnsi" w:cstheme="minorHAnsi"/>
                <w:b w:val="0"/>
                <w:bCs/>
                <w:i w:val="0"/>
                <w:color w:val="000000" w:themeColor="text1"/>
                <w:sz w:val="20"/>
                <w:szCs w:val="20"/>
              </w:rPr>
            </w:r>
            <w:r>
              <w:rPr>
                <w:rFonts w:asciiTheme="minorHAnsi" w:hAnsiTheme="minorHAnsi" w:cstheme="minorHAnsi"/>
                <w:color w:val="000000" w:themeColor="text1"/>
                <w:sz w:val="20"/>
                <w:szCs w:val="20"/>
                <w:lang w:val="undefined"/>
              </w:rPr>
              <w:t xml:space="preserve">Campbell, N. A., &amp; Reece, J. B. (2007). Biologie (7e éd.). Paris : Pearson Education France. ISBN 978-2-7440-7223-9.</w:t>
            </w:r>
            <w:r>
              <w:rPr>
                <w:rFonts w:asciiTheme="minorHAnsi" w:hAnsiTheme="minorHAnsi" w:cstheme="minorHAnsi"/>
                <w:color w:val="000000" w:themeColor="text1"/>
                <w:sz w:val="20"/>
                <w:szCs w:val="20"/>
                <w:lang w:val="undefined" w:bidi="undefined"/>
              </w:rPr>
            </w:r>
            <w:r>
              <w:rPr>
                <w:rFonts w:asciiTheme="minorHAnsi" w:hAnsiTheme="minorHAnsi" w:cstheme="minorHAnsi"/>
                <w:color w:val="000000" w:themeColor="text1"/>
                <w:sz w:val="20"/>
                <w:szCs w:val="20"/>
                <w:lang w:val="undefined"/>
              </w:rPr>
            </w:r>
          </w:p>
        </w:tc>
      </w:tr>
      <w:tr>
        <w:trPr/>
        <w:tc>
          <w:tcPr>
            <w:shd w:val="clear" w:color="auto" w:fill="e6e6e6"/>
            <w:tcBorders>
              <w:top w:val="single" w:color="000000" w:sz="4" w:space="0"/>
              <w:left w:val="single" w:color="000000" w:sz="4" w:space="0"/>
              <w:bottom w:val="single" w:color="000000" w:sz="4" w:space="0"/>
            </w:tcBorders>
            <w:tcW w:w="3402" w:type="dxa"/>
          </w:tcPr>
          <w:p w14:paraId="04E8550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01191A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8D27AD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BE8A4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iCs/>
                <w:color w:val="000000" w:themeColor="text1"/>
                <w:sz w:val="20"/>
                <w:szCs w:val="20"/>
              </w:rPr>
            </w:pPr>
            <w:r>
              <w:rPr>
                <w:rFonts w:asciiTheme="minorHAnsi" w:hAnsiTheme="minorHAnsi" w:cstheme="minorHAnsi"/>
                <w:bCs/>
                <w:i/>
                <w:iCs/>
                <w:color w:val="000000" w:themeColor="text1"/>
                <w:sz w:val="20"/>
                <w:szCs w:val="20"/>
              </w:rPr>
              <w:t xml:space="preserve">Contrôle terminal</w:t>
            </w:r>
            <w:r>
              <w:rPr>
                <w:rFonts w:asciiTheme="minorHAnsi" w:hAnsiTheme="minorHAnsi" w:cstheme="minorHAnsi"/>
                <w:bCs/>
                <w:i/>
                <w:iCs/>
                <w:color w:val="000000" w:themeColor="text1"/>
                <w:sz w:val="20"/>
                <w:szCs w:val="20"/>
              </w:rPr>
            </w:r>
            <w:r>
              <w:rPr>
                <w:rFonts w:asciiTheme="minorHAnsi" w:hAnsiTheme="minorHAnsi" w:cstheme="minorHAnsi"/>
                <w:bCs/>
                <w:i/>
                <w:iCs/>
                <w:color w:val="000000" w:themeColor="text1"/>
                <w:sz w:val="20"/>
                <w:szCs w:val="20"/>
              </w:rPr>
            </w:r>
          </w:p>
        </w:tc>
      </w:tr>
    </w:tbl>
    <w:p w14:paraId="5C6A1381"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C7B224A"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ADF5656"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4FFF8FB"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AFFA9ED"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D269C92"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D518513"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B6B034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59B947B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400DD18" w14:textId="347C9C4C">
            <w:pPr>
              <w:pBdr/>
              <w:spacing/>
              <w:ind/>
              <w:rPr>
                <w:rFonts w:asciiTheme="minorHAnsi" w:hAnsiTheme="minorHAnsi" w:cstheme="minorHAnsi"/>
                <w:b/>
                <w:color w:val="000000" w:themeColor="text1"/>
                <w:sz w:val="20"/>
                <w:szCs w:val="20"/>
                <w:highlight w:val="yellow"/>
              </w:rPr>
            </w:pPr>
            <w:r>
              <w:rPr>
                <w:rFonts w:asciiTheme="minorHAnsi" w:hAnsiTheme="minorHAnsi" w:cstheme="minorHAnsi"/>
                <w:b/>
                <w:color w:val="000000" w:themeColor="text1"/>
                <w:sz w:val="22"/>
                <w:szCs w:val="22"/>
              </w:rPr>
              <w:t xml:space="preserve">HPS1U</w:t>
            </w:r>
            <w:r>
              <w:rPr>
                <w:rFonts w:asciiTheme="minorHAnsi" w:hAnsiTheme="minorHAnsi" w:cstheme="minorHAnsi"/>
                <w:b/>
                <w:color w:val="000000" w:themeColor="text1"/>
                <w:sz w:val="22"/>
                <w:szCs w:val="22"/>
              </w:rPr>
              <w:t xml:space="preserve">30</w:t>
            </w:r>
            <w:r>
              <w:rPr>
                <w:rFonts w:asciiTheme="minorHAnsi" w:hAnsiTheme="minorHAnsi" w:cstheme="minorHAnsi"/>
                <w:b/>
                <w:color w:val="000000" w:themeColor="text1"/>
                <w:sz w:val="20"/>
                <w:szCs w:val="20"/>
                <w:highlight w:val="yellow"/>
              </w:rPr>
            </w:r>
            <w:r>
              <w:rPr>
                <w:rFonts w:asciiTheme="minorHAnsi" w:hAnsiTheme="minorHAnsi" w:cstheme="min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CEC627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8A44D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Méthodologie du travail universitaire en psychologie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4610C2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A1B2DA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Système universitaire, recherche documentaire, lecture scientifique, rédaction, prise de notes.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62E99C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p w14:paraId="14CF128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707BD8E"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Le contenu des Cours et TD de cette UE permettra aux étudiants de réfléchir sur leurs façon</w:t>
            </w:r>
            <w:r>
              <w:rPr>
                <w:rFonts w:asciiTheme="minorHAnsi" w:hAnsiTheme="minorHAnsi" w:cstheme="minorHAnsi"/>
                <w:color w:val="000000" w:themeColor="text1"/>
                <w:sz w:val="20"/>
                <w:szCs w:val="20"/>
              </w:rPr>
              <w:t xml:space="preserve">s de travailler, de s'organiser et de s’engager plus efficacement dans les différentes activités universitaires. L’enjeu est de les conduire à améliorer leurs compétences pour rechercher, comprendre et exploiter l’information, prendre des notes et rédiger.</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2EFFE6F9"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Aussi, les cours et TD consisteront à identifier et à exercer leurs compétences à partir de connaissances sur le systè</w:t>
            </w:r>
            <w:r>
              <w:rPr>
                <w:rFonts w:asciiTheme="minorHAnsi" w:hAnsiTheme="minorHAnsi" w:cstheme="minorHAnsi"/>
                <w:color w:val="000000" w:themeColor="text1"/>
                <w:sz w:val="20"/>
                <w:szCs w:val="20"/>
              </w:rPr>
              <w:t xml:space="preserve">me universitaire, ses particularités et ses outils, mais aussi de connaissances relatives à la psychologie cognitive (apprentissage, mémorisation), et à la psycholinguistique (recherche d’information, compréhension, prise de notes et production de textes).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C3B8DC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3BBB4FB" w14:textId="2A4D51A8">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 ETCS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C19FB45"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BC957B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84E843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p w14:paraId="673431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5A6E22" w14:textId="77777777">
            <w:pPr>
              <w:numPr>
                <w:ilvl w:val="0"/>
                <w:numId w:val="2"/>
              </w:numPr>
              <w:pBdr>
                <w:top w:val="none" w:color="000000" w:sz="4" w:space="0"/>
                <w:left w:val="none" w:color="000000" w:sz="4" w:space="0"/>
                <w:bottom w:val="none" w:color="000000" w:sz="4" w:space="0"/>
                <w:right w:val="none" w:color="000000" w:sz="4" w:space="0"/>
                <w:between w:val="none" w:color="000000" w:sz="4" w:space="0"/>
              </w:pBdr>
              <w:spacing/>
              <w:ind w:firstLine="0"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Maîtrise de l’Environnement Numérique de Travail (ENT) d’AMU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203FE845" w14:textId="77777777">
            <w:pPr>
              <w:numPr>
                <w:ilvl w:val="0"/>
                <w:numId w:val="2"/>
              </w:numPr>
              <w:pBdr/>
              <w:spacing/>
              <w:ind w:firstLine="0"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Capacité à appréhender les différents types d’examens universitaires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4EBE5158" w14:textId="77777777">
            <w:pPr>
              <w:numPr>
                <w:ilvl w:val="0"/>
                <w:numId w:val="2"/>
              </w:numPr>
              <w:pBdr>
                <w:top w:val="none" w:color="000000" w:sz="4" w:space="0"/>
                <w:left w:val="none" w:color="000000" w:sz="4" w:space="0"/>
                <w:bottom w:val="none" w:color="000000" w:sz="4" w:space="0"/>
                <w:right w:val="none" w:color="000000" w:sz="4" w:space="0"/>
                <w:between w:val="none" w:color="000000" w:sz="4" w:space="0"/>
              </w:pBdr>
              <w:spacing/>
              <w:ind w:firstLine="0"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Capacité à explorer les méthodes de prises de notes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7643723C" w14:textId="77777777">
            <w:pPr>
              <w:numPr>
                <w:ilvl w:val="0"/>
                <w:numId w:val="2"/>
              </w:numPr>
              <w:pBdr>
                <w:top w:val="none" w:color="000000" w:sz="4" w:space="0"/>
                <w:left w:val="none" w:color="000000" w:sz="4" w:space="0"/>
                <w:bottom w:val="none" w:color="000000" w:sz="4" w:space="0"/>
                <w:right w:val="none" w:color="000000" w:sz="4" w:space="0"/>
                <w:between w:val="none" w:color="000000" w:sz="4" w:space="0"/>
              </w:pBdr>
              <w:spacing/>
              <w:ind w:firstLine="0"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Capacité à effectuer une recherche bibliographique et à exploiter l’information scientifique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4825CC3" w14:textId="77777777">
            <w:pPr>
              <w:numPr>
                <w:ilvl w:val="0"/>
                <w:numId w:val="2"/>
              </w:numPr>
              <w:pBdr/>
              <w:spacing/>
              <w:ind w:firstLine="0" w:left="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Capacité à produire des textes universitaires, des résumés.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1C1092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588AF1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92BE06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B59D90" w14:textId="2B42CD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Léandro</w:t>
            </w:r>
            <w:r>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Jofré</w:t>
            </w:r>
            <w:r>
              <w:rPr>
                <w:rFonts w:asciiTheme="minorHAnsi" w:hAnsiTheme="minorHAnsi" w:cstheme="minorHAnsi"/>
                <w:color w:val="000000" w:themeColor="text1"/>
                <w:sz w:val="20"/>
                <w:szCs w:val="20"/>
              </w:rPr>
              <w:t xml:space="preserve"> &amp; Victoria Isabel Fernandez</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3E6FE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58116A" w14:textId="3CD1059A">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C92138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04FCE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7F7F04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DCA4E8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CC68E6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851B2F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7A01C4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6B000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6DE6874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3FE0444C" w14:textId="5F46F6AD">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12</w:t>
            </w:r>
            <w:r>
              <w:rPr>
                <w:rFonts w:asciiTheme="minorHAnsi" w:hAnsiTheme="minorHAnsi" w:cstheme="minorHAnsi"/>
                <w:color w:val="000000" w:themeColor="text1"/>
                <w:sz w:val="20"/>
                <w:szCs w:val="20"/>
              </w:rPr>
              <w:t xml:space="preserve"> h</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20711A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3D27B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Piolat</w:t>
            </w:r>
            <w:r>
              <w:rPr>
                <w:rFonts w:asciiTheme="minorHAnsi" w:hAnsiTheme="minorHAnsi" w:cstheme="minorHAnsi"/>
                <w:color w:val="000000" w:themeColor="text1"/>
                <w:sz w:val="20"/>
                <w:szCs w:val="20"/>
              </w:rPr>
              <w:t xml:space="preserve">, A., &amp; </w:t>
            </w:r>
            <w:r>
              <w:rPr>
                <w:rFonts w:asciiTheme="minorHAnsi" w:hAnsiTheme="minorHAnsi" w:cstheme="minorHAnsi"/>
                <w:color w:val="000000" w:themeColor="text1"/>
                <w:sz w:val="20"/>
                <w:szCs w:val="20"/>
              </w:rPr>
              <w:t xml:space="preserve">Vauclair</w:t>
            </w:r>
            <w:r>
              <w:rPr>
                <w:rFonts w:asciiTheme="minorHAnsi" w:hAnsiTheme="minorHAnsi" w:cstheme="minorHAnsi"/>
                <w:color w:val="000000" w:themeColor="text1"/>
                <w:sz w:val="20"/>
                <w:szCs w:val="20"/>
              </w:rPr>
              <w:t xml:space="preserve">, J. (2010). </w:t>
            </w:r>
            <w:r>
              <w:rPr>
                <w:rFonts w:asciiTheme="minorHAnsi" w:hAnsiTheme="minorHAnsi" w:cstheme="minorHAnsi"/>
                <w:i/>
                <w:color w:val="000000" w:themeColor="text1"/>
                <w:sz w:val="20"/>
                <w:szCs w:val="20"/>
              </w:rPr>
              <w:t xml:space="preserve">Réussir son premier cycle en psycho</w:t>
            </w:r>
            <w:r>
              <w:rPr>
                <w:rFonts w:asciiTheme="minorHAnsi" w:hAnsiTheme="minorHAnsi" w:cstheme="minorHAnsi"/>
                <w:color w:val="000000" w:themeColor="text1"/>
                <w:sz w:val="20"/>
                <w:szCs w:val="20"/>
              </w:rPr>
              <w:t xml:space="preserve">. Bruxelles : De Boeck (col. Préparer l’examen), nouvelle édition révisée.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EFFFEA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DDA2E6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07F75B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D4602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 xml:space="preserve">Contrôle continu intégral</w:t>
            </w:r>
            <w:r>
              <w:rPr>
                <w:rFonts w:asciiTheme="minorHAnsi" w:hAnsiTheme="minorHAnsi" w:cstheme="minorHAnsi"/>
                <w:i/>
                <w:iCs/>
                <w:color w:val="000000" w:themeColor="text1"/>
                <w:sz w:val="20"/>
                <w:szCs w:val="20"/>
              </w:rPr>
            </w:r>
            <w:r>
              <w:rPr>
                <w:rFonts w:asciiTheme="minorHAnsi" w:hAnsiTheme="minorHAnsi" w:cstheme="minorHAnsi"/>
                <w:i/>
                <w:iCs/>
                <w:color w:val="000000" w:themeColor="text1"/>
                <w:sz w:val="20"/>
                <w:szCs w:val="20"/>
              </w:rPr>
            </w:r>
          </w:p>
        </w:tc>
      </w:tr>
    </w:tbl>
    <w:p w14:paraId="5B8D6735"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ABD4DEB"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B631F4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4B346F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CB5AA8D"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05CA7A2"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D97C579" w14:textId="4BB09CF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183B6A1" w14:textId="45023014">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FFB5730" w14:textId="684CCA2A">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4F4A5AA" w14:textId="188466F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A6FD7E5"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94126E3" w14:textId="407245A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AE70CB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37DBBBD"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998237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8377C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3BAFAAB" w14:textId="7CBC1C9C">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highlight w:val="yellow"/>
              </w:rPr>
            </w:pPr>
            <w:r>
              <w:rPr>
                <w:rFonts w:asciiTheme="minorHAnsi" w:hAnsiTheme="minorHAnsi" w:cstheme="minorHAnsi"/>
                <w:b/>
                <w:color w:val="000000" w:themeColor="text1"/>
                <w:sz w:val="22"/>
                <w:szCs w:val="22"/>
              </w:rPr>
              <w:t xml:space="preserve">HPS1U</w:t>
            </w:r>
            <w:r>
              <w:rPr>
                <w:rFonts w:asciiTheme="minorHAnsi" w:hAnsiTheme="minorHAnsi" w:cstheme="minorHAnsi"/>
                <w:b/>
                <w:color w:val="000000" w:themeColor="text1"/>
                <w:sz w:val="22"/>
                <w:szCs w:val="22"/>
              </w:rPr>
              <w:t xml:space="preserve">32</w:t>
            </w:r>
            <w:r>
              <w:rPr>
                <w:rFonts w:asciiTheme="minorHAnsi" w:hAnsiTheme="minorHAnsi" w:cstheme="minorHAnsi"/>
                <w:b/>
                <w:color w:val="000000" w:themeColor="text1"/>
                <w:sz w:val="20"/>
                <w:szCs w:val="20"/>
                <w:highlight w:val="yellow"/>
              </w:rPr>
            </w:r>
            <w:r>
              <w:rPr>
                <w:rFonts w:asciiTheme="minorHAnsi" w:hAnsiTheme="minorHAnsi" w:cstheme="min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5CFD887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69985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Méthodes et statistiques 1</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C4579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04F2CB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Recueil des données ; distribution ; indices de tendance centrale ; indices de dispersion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5E45E4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501B371"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La première partie de ce cours porte sur les techniques de recueil des données en psychologie, et les premières étapes de leur traitement (distribution, indices de tendance centrale et de dispersion).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DD3E7F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578188D" w14:textId="535B403A">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w:t>
            </w:r>
            <w:r>
              <w:rPr>
                <w:rFonts w:asciiTheme="minorHAnsi" w:hAnsiTheme="minorHAnsi" w:cstheme="minorHAnsi"/>
                <w:color w:val="000000" w:themeColor="text1"/>
                <w:sz w:val="20"/>
                <w:szCs w:val="20"/>
              </w:rPr>
              <w:t xml:space="preserve">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A708F3D"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B3403A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C06C4A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p w14:paraId="3AB2F31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248A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Distinguer les différentes tech</w:t>
            </w:r>
            <w:r>
              <w:rPr>
                <w:rFonts w:asciiTheme="minorHAnsi" w:hAnsiTheme="minorHAnsi" w:cstheme="minorHAnsi"/>
                <w:color w:val="000000" w:themeColor="text1"/>
                <w:sz w:val="20"/>
                <w:szCs w:val="20"/>
              </w:rPr>
              <w:t xml:space="preserve">niques de recueil des données ; identifier un niveau de mesure ; transformer un tableau de protocole en un tableau de distribution ; représenter graphiquement une distribution ; calculer et choisir un indice de tendance centrale et un indice de dispersion.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3E477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ED4042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CA9344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468DB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Raphaël </w:t>
            </w:r>
            <w:r>
              <w:rPr>
                <w:rFonts w:asciiTheme="minorHAnsi" w:hAnsiTheme="minorHAnsi" w:cstheme="minorHAnsi"/>
                <w:color w:val="000000" w:themeColor="text1"/>
                <w:sz w:val="20"/>
                <w:szCs w:val="20"/>
              </w:rPr>
              <w:t xml:space="preserve">Mizzi</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F90C4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58B65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99534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0E7C6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0F422D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E900B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9C00E5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F3152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D969C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60F15D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Psychologie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69C54E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5171BD87" w14:textId="6C357C4A">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w:t>
            </w:r>
            <w:r>
              <w:rPr>
                <w:rFonts w:asciiTheme="minorHAnsi" w:hAnsiTheme="minorHAnsi" w:cstheme="minorHAnsi"/>
                <w:color w:val="000000" w:themeColor="text1"/>
                <w:sz w:val="20"/>
                <w:szCs w:val="20"/>
              </w:rPr>
              <w:t xml:space="preserve">4</w:t>
            </w:r>
            <w:r>
              <w:rPr>
                <w:rFonts w:asciiTheme="minorHAnsi" w:hAnsiTheme="minorHAnsi" w:cstheme="minorHAnsi"/>
                <w:color w:val="000000" w:themeColor="text1"/>
                <w:sz w:val="20"/>
                <w:szCs w:val="20"/>
              </w:rPr>
              <w:t xml:space="preserve">h (1</w:t>
            </w:r>
            <w:r>
              <w:rPr>
                <w:rFonts w:asciiTheme="minorHAnsi" w:hAnsiTheme="minorHAnsi" w:cstheme="minorHAnsi"/>
                <w:color w:val="000000" w:themeColor="text1"/>
                <w:sz w:val="20"/>
                <w:szCs w:val="20"/>
              </w:rPr>
              <w:t xml:space="preserve">2</w:t>
            </w:r>
            <w:r>
              <w:rPr>
                <w:rFonts w:asciiTheme="minorHAnsi" w:hAnsiTheme="minorHAnsi" w:cstheme="minorHAnsi"/>
                <w:color w:val="000000" w:themeColor="text1"/>
                <w:sz w:val="20"/>
                <w:szCs w:val="20"/>
              </w:rPr>
              <w:t xml:space="preserve">h CM, </w:t>
            </w:r>
            <w:r>
              <w:rPr>
                <w:rFonts w:asciiTheme="minorHAnsi" w:hAnsiTheme="minorHAnsi" w:cstheme="minorHAnsi"/>
                <w:color w:val="000000" w:themeColor="text1"/>
                <w:sz w:val="20"/>
                <w:szCs w:val="20"/>
              </w:rPr>
              <w:t xml:space="preserve">8</w:t>
            </w:r>
            <w:r>
              <w:rPr>
                <w:rFonts w:asciiTheme="minorHAnsi" w:hAnsiTheme="minorHAnsi" w:cstheme="minorHAnsi"/>
                <w:color w:val="000000" w:themeColor="text1"/>
                <w:sz w:val="20"/>
                <w:szCs w:val="20"/>
              </w:rPr>
              <w:t xml:space="preserve">h TD</w:t>
            </w:r>
            <w:r>
              <w:rPr>
                <w:rFonts w:asciiTheme="minorHAnsi" w:hAnsiTheme="minorHAnsi" w:cstheme="minorHAnsi"/>
                <w:color w:val="000000" w:themeColor="text1"/>
                <w:sz w:val="20"/>
                <w:szCs w:val="20"/>
              </w:rPr>
              <w:t xml:space="preserve">, 4h PA</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D37F65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F1593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4053E4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8338E5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68EA4A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950C517" w14:textId="2FB50B28">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Contrôle continu</w:t>
            </w:r>
            <w:r>
              <w:rPr>
                <w:rFonts w:asciiTheme="minorHAnsi" w:hAnsiTheme="minorHAnsi" w:cstheme="minorHAnsi"/>
                <w:i/>
                <w:color w:val="000000" w:themeColor="text1"/>
                <w:sz w:val="20"/>
                <w:szCs w:val="20"/>
              </w:rPr>
              <w:t xml:space="preserve">.</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40C30DCE"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5F5610B"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198A83C"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0184F18"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20CEEB3"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87AB2FA" w14:textId="3F9F0198">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6310EF7"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317FF7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542518D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E37B179" w14:textId="23958E64">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2"/>
                <w:szCs w:val="22"/>
                <w:highlight w:val="yellow"/>
              </w:rPr>
            </w:pPr>
            <w:r>
              <w:rPr>
                <w:rFonts w:asciiTheme="minorHAnsi" w:hAnsiTheme="minorHAnsi" w:cstheme="minorHAnsi"/>
                <w:b/>
                <w:color w:val="000000" w:themeColor="text1"/>
                <w:sz w:val="22"/>
                <w:szCs w:val="22"/>
              </w:rPr>
              <w:t xml:space="preserve">HPS1U</w:t>
            </w:r>
            <w:r>
              <w:rPr>
                <w:rFonts w:asciiTheme="minorHAnsi" w:hAnsiTheme="minorHAnsi" w:cstheme="minorHAnsi"/>
                <w:b/>
                <w:color w:val="000000" w:themeColor="text1"/>
                <w:sz w:val="22"/>
                <w:szCs w:val="22"/>
              </w:rPr>
              <w:t xml:space="preserve">31</w:t>
            </w:r>
            <w:r>
              <w:rPr>
                <w:rFonts w:asciiTheme="minorHAnsi" w:hAnsiTheme="minorHAnsi" w:cstheme="minorHAnsi"/>
                <w:b/>
                <w:color w:val="000000" w:themeColor="text1"/>
                <w:sz w:val="22"/>
                <w:szCs w:val="22"/>
                <w:highlight w:val="yellow"/>
              </w:rPr>
            </w:r>
            <w:r>
              <w:rPr>
                <w:rFonts w:asciiTheme="minorHAnsi" w:hAnsiTheme="minorHAnsi" w:cstheme="minorHAnsi"/>
                <w:b/>
                <w:color w:val="000000" w:themeColor="text1"/>
                <w:sz w:val="22"/>
                <w:szCs w:val="22"/>
                <w:highlight w:val="yellow"/>
              </w:rPr>
            </w:r>
          </w:p>
        </w:tc>
      </w:tr>
      <w:tr>
        <w:trPr/>
        <w:tc>
          <w:tcPr>
            <w:shd w:val="clear" w:color="auto" w:fill="auto"/>
            <w:tcBorders>
              <w:left w:val="single" w:color="000000" w:sz="4" w:space="0"/>
              <w:bottom w:val="single" w:color="000000" w:sz="4" w:space="0"/>
            </w:tcBorders>
            <w:tcW w:w="3402" w:type="dxa"/>
          </w:tcPr>
          <w:p w14:paraId="793236F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72BE2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Anglais pour Psychologues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D5690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CFD1EC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90CB70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7D775F2" w14:textId="77777777">
            <w:pPr>
              <w:pStyle w:val="956"/>
              <w:numPr>
                <w:ilvl w:val="0"/>
                <w:numId w:val="14"/>
              </w:numPr>
              <w:pBdr>
                <w:top w:val="none" w:color="000000" w:sz="4" w:space="0"/>
                <w:left w:val="none" w:color="000000" w:sz="4" w:space="0"/>
                <w:bottom w:val="none" w:color="000000" w:sz="4" w:space="0"/>
                <w:right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Travail sur les compétences écrites et orales de la langue basé sur des thèmes de psychologie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FD480EF" w14:textId="77777777">
            <w:pPr>
              <w:pStyle w:val="956"/>
              <w:numPr>
                <w:ilvl w:val="0"/>
                <w:numId w:val="14"/>
              </w:numPr>
              <w:pBdr>
                <w:top w:val="none" w:color="000000" w:sz="4" w:space="0"/>
                <w:left w:val="none" w:color="000000" w:sz="4" w:space="0"/>
                <w:bottom w:val="none" w:color="000000" w:sz="4" w:space="0"/>
                <w:right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Révisions de points de grammaire en contexte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6631741" w14:textId="77777777">
            <w:pPr>
              <w:pStyle w:val="956"/>
              <w:numPr>
                <w:ilvl w:val="0"/>
                <w:numId w:val="14"/>
              </w:numPr>
              <w:pBdr>
                <w:top w:val="none" w:color="000000" w:sz="4" w:space="0"/>
                <w:left w:val="none" w:color="000000" w:sz="4" w:space="0"/>
                <w:bottom w:val="none" w:color="000000" w:sz="4" w:space="0"/>
                <w:right w:val="none" w:color="000000" w:sz="4" w:space="0"/>
              </w:pBdr>
              <w:spacing/>
              <w:ind/>
              <w:rPr>
                <w:color w:val="000000" w:themeColor="text1"/>
                <w:sz w:val="20"/>
                <w:szCs w:val="20"/>
              </w:rPr>
            </w:pPr>
            <w:r>
              <w:rPr>
                <w:rFonts w:asciiTheme="minorHAnsi" w:hAnsiTheme="minorHAnsi" w:cstheme="minorHAnsi"/>
                <w:color w:val="000000" w:themeColor="text1"/>
                <w:sz w:val="20"/>
                <w:szCs w:val="20"/>
              </w:rPr>
              <w:t xml:space="preserve">Acquisition de vocabulaire en lien avec la psychologie</w:t>
            </w:r>
            <w:r>
              <w:rPr>
                <w:color w:val="000000" w:themeColor="text1"/>
                <w:sz w:val="20"/>
                <w:szCs w:val="20"/>
              </w:rPr>
            </w:r>
            <w:r>
              <w:rPr>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5C96CAA"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Niveau de l'enseignement pour les langues uniquement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B5ABC6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A2-B1</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4987B7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8C654BC" w14:textId="029B25EE">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4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A266312"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B37D7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69A3B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9BBB45A" w14:textId="77777777">
            <w:pPr>
              <w:pBdr>
                <w:top w:val="none" w:color="000000" w:sz="4" w:space="0"/>
                <w:left w:val="none" w:color="000000" w:sz="4" w:space="0"/>
                <w:bottom w:val="none" w:color="000000" w:sz="4" w:space="0"/>
                <w:right w:val="none" w:color="000000" w:sz="4" w:space="0"/>
              </w:pBdr>
              <w:spacing/>
              <w:ind/>
              <w:rPr>
                <w:color w:val="000000" w:themeColor="text1"/>
                <w:sz w:val="20"/>
                <w:szCs w:val="20"/>
              </w:rPr>
            </w:pPr>
            <w:r>
              <w:rPr>
                <w:rFonts w:asciiTheme="minorHAnsi" w:hAnsiTheme="minorHAnsi" w:cstheme="minorHAnsi"/>
                <w:color w:val="000000" w:themeColor="text1"/>
                <w:sz w:val="20"/>
                <w:szCs w:val="20"/>
              </w:rPr>
              <w:t xml:space="preserve">Maîtrise de la compréhension écrite et orale de documents niveau A2 / B1 sur des thèmes de psychologie.</w:t>
            </w:r>
            <w:r>
              <w:rPr>
                <w:color w:val="000000" w:themeColor="text1"/>
                <w:sz w:val="20"/>
                <w:szCs w:val="20"/>
              </w:rPr>
            </w:r>
            <w:r>
              <w:rPr>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9B37C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5B837E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A4DEC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02EFA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Déborah PRUDHON · deborah.prudhon@univ-amu.fr</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6059F3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0BABBD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EF88B6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096E1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9A517B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D8B9DA6" w14:textId="77777777">
            <w:pPr>
              <w:pBdr>
                <w:top w:val="none" w:color="000000" w:sz="4" w:space="0"/>
                <w:left w:val="none" w:color="000000" w:sz="4" w:space="0"/>
                <w:bottom w:val="none" w:color="000000" w:sz="4" w:space="0"/>
                <w:right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Mise à disposition des documents étudiés en cours et de compléments sur </w:t>
            </w:r>
            <w:r>
              <w:rPr>
                <w:rFonts w:asciiTheme="minorHAnsi" w:hAnsiTheme="minorHAnsi" w:cstheme="minorHAnsi"/>
                <w:color w:val="000000" w:themeColor="text1"/>
                <w:sz w:val="20"/>
                <w:szCs w:val="20"/>
              </w:rPr>
              <w:t xml:space="preserve">Amétice</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002BBEF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Un examen blanc (« </w:t>
            </w:r>
            <w:r>
              <w:rPr>
                <w:rFonts w:asciiTheme="minorHAnsi" w:hAnsiTheme="minorHAnsi" w:cstheme="minorHAnsi"/>
                <w:color w:val="000000" w:themeColor="text1"/>
                <w:sz w:val="20"/>
                <w:szCs w:val="20"/>
              </w:rPr>
              <w:t xml:space="preserve">mock</w:t>
            </w:r>
            <w:r>
              <w:rPr>
                <w:rFonts w:asciiTheme="minorHAnsi" w:hAnsiTheme="minorHAnsi" w:cstheme="minorHAnsi"/>
                <w:color w:val="000000" w:themeColor="text1"/>
                <w:sz w:val="20"/>
                <w:szCs w:val="20"/>
              </w:rPr>
              <w:t xml:space="preserve"> exam ») pour s’entraîner à l’examen final est proposé lors de la dernière séance de TD.</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976EC0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24A765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FC5928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92452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Anglais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174A00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2CF8D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Anglais pour Psychologues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A4C700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171BBAB" w14:textId="0C4DD8E6">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2</w:t>
            </w:r>
            <w:r>
              <w:rPr>
                <w:rFonts w:asciiTheme="minorHAnsi" w:hAnsiTheme="minorHAnsi" w:cstheme="minorHAnsi"/>
                <w:color w:val="000000" w:themeColor="text1"/>
                <w:sz w:val="20"/>
                <w:szCs w:val="20"/>
              </w:rPr>
              <w:t xml:space="preserve">4</w:t>
            </w:r>
            <w:r>
              <w:rPr>
                <w:rFonts w:asciiTheme="minorHAnsi" w:hAnsiTheme="minorHAnsi" w:cstheme="minorHAnsi"/>
                <w:color w:val="000000" w:themeColor="text1"/>
                <w:sz w:val="20"/>
                <w:szCs w:val="20"/>
              </w:rPr>
              <w:t xml:space="preserve">h : 10 heures TD / 10h CM</w:t>
            </w:r>
            <w:r>
              <w:rPr>
                <w:rFonts w:asciiTheme="minorHAnsi" w:hAnsiTheme="minorHAnsi" w:cstheme="minorHAnsi"/>
                <w:color w:val="000000" w:themeColor="text1"/>
                <w:sz w:val="20"/>
                <w:szCs w:val="20"/>
              </w:rPr>
              <w:t xml:space="preserve"> / 4h PA</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820B4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F7381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05A881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C24913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49C2B9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4106B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Anglais (niveau A1-A2)</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217D4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Prérequis recommandé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4D088C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rHeight w:val="276"/>
        </w:trPr>
        <w:tc>
          <w:tcPr>
            <w:shd w:val="clear" w:color="ffffff" w:fill="ffffff"/>
            <w:tcBorders>
              <w:left w:val="single" w:color="000000" w:sz="4" w:space="0"/>
              <w:bottom w:val="single" w:color="000000" w:sz="4" w:space="0"/>
            </w:tcBorders>
            <w:tcW w:w="3402" w:type="dxa"/>
            <w:vMerge w:val="restart"/>
          </w:tcPr>
          <w:p w14:paraId="626B5776" w14:textId="77777777">
            <w:pPr>
              <w:pBdr>
                <w:top w:val="none" w:color="000000" w:sz="4" w:space="0"/>
                <w:left w:val="none" w:color="000000" w:sz="4" w:space="0"/>
                <w:bottom w:val="none" w:color="000000" w:sz="4" w:space="0"/>
                <w:right w:val="none" w:color="000000" w:sz="4" w:space="0"/>
                <w:between w:val="none" w:color="000000" w:sz="4" w:space="0"/>
              </w:pBdr>
              <w:spacing/>
              <w:ind/>
              <w:rPr>
                <w:color w:val="000000" w:themeColor="text1"/>
                <w:sz w:val="20"/>
                <w:szCs w:val="20"/>
              </w:rPr>
            </w:pPr>
            <w:r>
              <w:rPr>
                <w:color w:val="000000" w:themeColor="text1"/>
                <w:sz w:val="20"/>
                <w:szCs w:val="20"/>
              </w:rPr>
            </w:r>
            <w:r>
              <w:rPr>
                <w:color w:val="000000" w:themeColor="text1"/>
                <w:sz w:val="20"/>
                <w:szCs w:val="20"/>
              </w:rPr>
            </w:r>
            <w:r>
              <w:rPr>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vMerge w:val="restart"/>
          </w:tcPr>
          <w:p w14:paraId="4B07438D" w14:textId="77777777">
            <w:pPr>
              <w:pBdr>
                <w:top w:val="none" w:color="000000" w:sz="4" w:space="0"/>
                <w:left w:val="none" w:color="000000" w:sz="4" w:space="0"/>
                <w:bottom w:val="none" w:color="000000" w:sz="4" w:space="0"/>
                <w:right w:val="none" w:color="000000" w:sz="4" w:space="0"/>
                <w:between w:val="none" w:color="000000" w:sz="4" w:space="0"/>
              </w:pBdr>
              <w:spacing/>
              <w:ind/>
              <w:rPr>
                <w:color w:val="000000" w:themeColor="text1"/>
                <w:sz w:val="20"/>
                <w:szCs w:val="20"/>
              </w:rPr>
            </w:pPr>
            <w:r>
              <w:rPr>
                <w:color w:val="000000" w:themeColor="text1"/>
                <w:sz w:val="20"/>
                <w:szCs w:val="20"/>
              </w:rPr>
            </w:r>
            <w:r>
              <w:rPr>
                <w:color w:val="000000" w:themeColor="text1"/>
                <w:sz w:val="20"/>
                <w:szCs w:val="20"/>
              </w:rPr>
            </w:r>
            <w:r>
              <w:rPr>
                <w:color w:val="000000" w:themeColor="text1"/>
                <w:sz w:val="20"/>
                <w:szCs w:val="20"/>
              </w:rPr>
            </w:r>
          </w:p>
        </w:tc>
      </w:tr>
      <w:tr>
        <w:trPr>
          <w:trHeight w:val="293"/>
        </w:trPr>
        <w:tc>
          <w:tcPr>
            <w:shd w:val="clear" w:color="ffffff" w:fill="ffffff"/>
            <w:tcBorders>
              <w:left w:val="single" w:color="000000" w:sz="4" w:space="0"/>
              <w:bottom w:val="single" w:color="000000" w:sz="4" w:space="0"/>
            </w:tcBorders>
            <w:tcW w:w="3402" w:type="dxa"/>
            <w:vMerge w:val="restart"/>
          </w:tcPr>
          <w:p w14:paraId="43BD028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 xml:space="preserve">Modalités de contrôle des connaissances</w:t>
            </w:r>
            <w:r>
              <w:rPr>
                <w:rFonts w:asciiTheme="minorHAnsi" w:hAnsiTheme="minorHAnsi" w:cstheme="minorHAnsi"/>
                <w:b/>
                <w:bCs/>
                <w:color w:val="000000" w:themeColor="text1"/>
                <w:sz w:val="20"/>
                <w:szCs w:val="20"/>
              </w:rPr>
            </w:r>
            <w:r>
              <w:rPr>
                <w:rFonts w:asciiTheme="minorHAnsi" w:hAnsiTheme="minorHAnsi" w:cstheme="minorHAnsi"/>
                <w:b/>
                <w:bCs/>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vMerge w:val="restart"/>
          </w:tcPr>
          <w:p w14:paraId="45167C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iCs/>
                <w:color w:val="000000" w:themeColor="text1"/>
                <w:sz w:val="20"/>
                <w:szCs w:val="20"/>
              </w:rPr>
            </w:pPr>
            <w:r>
              <w:rPr>
                <w:rFonts w:asciiTheme="minorHAnsi" w:hAnsiTheme="minorHAnsi" w:cstheme="minorHAnsi"/>
                <w:i/>
                <w:iCs/>
                <w:color w:val="000000" w:themeColor="text1"/>
                <w:sz w:val="20"/>
                <w:szCs w:val="20"/>
              </w:rPr>
              <w:t xml:space="preserve">1 contrôle terminal d’une heure (QCM en 3 parties : Compréhension écrite sur texte inédit / Questions de cours / Questions de grammaire &amp; vocabulaire)</w:t>
            </w:r>
            <w:r>
              <w:rPr>
                <w:rFonts w:asciiTheme="minorHAnsi" w:hAnsiTheme="minorHAnsi" w:cstheme="minorHAnsi"/>
                <w:i/>
                <w:iCs/>
                <w:color w:val="000000" w:themeColor="text1"/>
                <w:sz w:val="20"/>
                <w:szCs w:val="20"/>
              </w:rPr>
            </w:r>
            <w:r>
              <w:rPr>
                <w:rFonts w:asciiTheme="minorHAnsi" w:hAnsiTheme="minorHAnsi" w:cstheme="minorHAnsi"/>
                <w:i/>
                <w:iCs/>
                <w:color w:val="000000" w:themeColor="text1"/>
                <w:sz w:val="20"/>
                <w:szCs w:val="20"/>
              </w:rPr>
            </w:r>
          </w:p>
        </w:tc>
      </w:tr>
    </w:tbl>
    <w:p w14:paraId="5988D697"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19D36F8"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752B950"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B9BF738"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9681249"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0A5A21A" w14:textId="3D487A31">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W w:w="99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Pr w:horzAnchor="margin" w:tblpXSpec="left" w:vertAnchor="page" w:tblpY="2161" w:leftFromText="141" w:topFromText="0" w:rightFromText="141" w:bottomFromText="0"/>
        <w:tblLook w:val="0600" w:firstRow="0" w:lastRow="0" w:firstColumn="0" w:lastColumn="0" w:noHBand="1" w:noVBand="1"/>
      </w:tblPr>
      <w:tblGrid>
        <w:gridCol w:w="1736"/>
        <w:gridCol w:w="7641"/>
        <w:gridCol w:w="529"/>
      </w:tblGrid>
      <w:tr>
        <w:trPr>
          <w:trHeight w:val="20"/>
        </w:trPr>
        <w:tc>
          <w:tcPr>
            <w:shd w:val="clear" w:color="auto" w:fill="c45911"/>
            <w:tcBorders>
              <w:bottom w:val="single" w:color="auto" w:sz="4" w:space="0"/>
            </w:tcBorders>
            <w:tcMar>
              <w:left w:w="80" w:type="dxa"/>
              <w:top w:w="100" w:type="dxa"/>
              <w:right w:w="80" w:type="dxa"/>
              <w:bottom w:w="100" w:type="dxa"/>
            </w:tcMar>
            <w:tcW w:w="1736" w:type="dxa"/>
          </w:tcPr>
          <w:p w14:paraId="3BCF8764" w14:textId="04267B07">
            <w:pPr>
              <w:pBdr/>
              <w:spacing/>
              <w:ind/>
              <w:contextualSpacing w:val="true"/>
              <w:rPr>
                <w:rFonts w:asciiTheme="minorHAnsi" w:hAnsiTheme="minorHAnsi" w:cstheme="minorHAnsi"/>
                <w:color w:val="000000" w:themeColor="text1"/>
                <w:sz w:val="18"/>
                <w:szCs w:val="18"/>
              </w:rPr>
            </w:pPr>
            <w:r/>
            <w:bookmarkStart w:id="0" w:name="_Hlk169596266"/>
            <w:r>
              <w:rPr>
                <w:rFonts w:asciiTheme="minorHAnsi" w:hAnsiTheme="minorHAnsi" w:cstheme="minorHAnsi"/>
                <w:color w:val="000000" w:themeColor="text1"/>
                <w:sz w:val="18"/>
                <w:szCs w:val="18"/>
              </w:rPr>
              <w:t xml:space="preserve">HPS1X</w:t>
            </w:r>
            <w:r>
              <w:rPr>
                <w:rFonts w:asciiTheme="minorHAnsi" w:hAnsiTheme="minorHAnsi" w:cstheme="minorHAnsi"/>
                <w:color w:val="000000" w:themeColor="text1"/>
                <w:sz w:val="18"/>
                <w:szCs w:val="18"/>
              </w:rPr>
              <w:t xml:space="preserve">30</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c45911"/>
            <w:tcBorders>
              <w:bottom w:val="single" w:color="auto" w:sz="4" w:space="0"/>
            </w:tcBorders>
            <w:tcMar>
              <w:left w:w="80" w:type="dxa"/>
              <w:top w:w="100" w:type="dxa"/>
              <w:right w:w="80" w:type="dxa"/>
              <w:bottom w:w="100" w:type="dxa"/>
            </w:tcMar>
            <w:tcW w:w="7641" w:type="dxa"/>
          </w:tcPr>
          <w:p w14:paraId="2389E8D0" w14:textId="053E703F">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Choix d’Option hors discipline</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c45911"/>
            <w:tcBorders>
              <w:bottom w:val="single" w:color="auto" w:sz="4" w:space="0"/>
            </w:tcBorders>
            <w:tcMar>
              <w:left w:w="80" w:type="dxa"/>
              <w:top w:w="100" w:type="dxa"/>
              <w:right w:w="80" w:type="dxa"/>
              <w:bottom w:w="100" w:type="dxa"/>
            </w:tcMar>
            <w:tcW w:w="529" w:type="dxa"/>
          </w:tcPr>
          <w:p w14:paraId="7CB53319" w14:textId="77777777">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c000"/>
            <w:tcBorders>
              <w:bottom w:val="none" w:color="000000" w:sz="4" w:space="0"/>
              <w:right w:val="none" w:color="000000" w:sz="4" w:space="0"/>
            </w:tcBorders>
            <w:tcMar>
              <w:left w:w="80" w:type="dxa"/>
              <w:top w:w="100" w:type="dxa"/>
              <w:right w:w="80" w:type="dxa"/>
              <w:bottom w:w="100" w:type="dxa"/>
            </w:tcMar>
            <w:tcW w:w="1736" w:type="dxa"/>
          </w:tcPr>
          <w:p w14:paraId="3AA832F2" w14:textId="7FF97BCC">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HPS1Y30</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left w:val="none" w:color="000000" w:sz="4" w:space="0"/>
              <w:bottom w:val="none" w:color="000000" w:sz="4" w:space="0"/>
            </w:tcBorders>
            <w:tcMar>
              <w:left w:w="80" w:type="dxa"/>
              <w:top w:w="100" w:type="dxa"/>
              <w:right w:w="80" w:type="dxa"/>
              <w:bottom w:w="100" w:type="dxa"/>
            </w:tcMar>
            <w:tcW w:w="7641" w:type="dxa"/>
          </w:tcPr>
          <w:p w14:paraId="61B7407C" w14:textId="4E3B8DEB">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Sciences du cerveau 1 : bloc biologie 1</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bottom w:val="none" w:color="000000" w:sz="4" w:space="0"/>
            </w:tcBorders>
            <w:tcMar>
              <w:left w:w="80" w:type="dxa"/>
              <w:top w:w="100" w:type="dxa"/>
              <w:right w:w="80" w:type="dxa"/>
              <w:bottom w:w="100" w:type="dxa"/>
            </w:tcMar>
            <w:tcW w:w="529" w:type="dxa"/>
          </w:tcPr>
          <w:p w14:paraId="4E31B554" w14:textId="5DC056DF">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c000"/>
            <w:tcBorders>
              <w:top w:val="none" w:color="000000" w:sz="4" w:space="0"/>
              <w:bottom w:val="none" w:color="000000" w:sz="4" w:space="0"/>
              <w:right w:val="none" w:color="000000" w:sz="4" w:space="0"/>
            </w:tcBorders>
            <w:tcMar>
              <w:left w:w="80" w:type="dxa"/>
              <w:top w:w="100" w:type="dxa"/>
              <w:right w:w="80" w:type="dxa"/>
              <w:bottom w:w="100" w:type="dxa"/>
            </w:tcMar>
            <w:tcW w:w="1736" w:type="dxa"/>
          </w:tcPr>
          <w:p w14:paraId="098CB30D" w14:textId="2FF615D7">
            <w:pPr>
              <w:pStyle w:val="956"/>
              <w:numPr>
                <w:ilvl w:val="0"/>
                <w:numId w:val="16"/>
              </w:numPr>
              <w:pBdr/>
              <w:spacing/>
              <w:in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SNR1U07</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top w:val="none" w:color="000000" w:sz="4" w:space="0"/>
              <w:left w:val="none" w:color="000000" w:sz="4" w:space="0"/>
              <w:bottom w:val="none" w:color="000000" w:sz="4" w:space="0"/>
            </w:tcBorders>
            <w:tcMar>
              <w:left w:w="80" w:type="dxa"/>
              <w:top w:w="100" w:type="dxa"/>
              <w:right w:w="80" w:type="dxa"/>
              <w:bottom w:w="100" w:type="dxa"/>
            </w:tcMar>
            <w:tcW w:w="7641" w:type="dxa"/>
          </w:tcPr>
          <w:p w14:paraId="75BDBDAE" w14:textId="52D0F859">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Comportement et cognition</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top w:val="none" w:color="000000" w:sz="4" w:space="0"/>
              <w:bottom w:val="none" w:color="000000" w:sz="4" w:space="0"/>
            </w:tcBorders>
            <w:tcMar>
              <w:left w:w="80" w:type="dxa"/>
              <w:top w:w="100" w:type="dxa"/>
              <w:right w:w="80" w:type="dxa"/>
              <w:bottom w:w="100" w:type="dxa"/>
            </w:tcMar>
            <w:tcW w:w="529" w:type="dxa"/>
          </w:tcPr>
          <w:p w14:paraId="0B22B2C0" w14:textId="12632BD4">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3</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c000"/>
            <w:tcBorders>
              <w:top w:val="none" w:color="000000" w:sz="4" w:space="0"/>
              <w:bottom w:val="single" w:color="auto" w:sz="4" w:space="0"/>
              <w:right w:val="none" w:color="000000" w:sz="4" w:space="0"/>
            </w:tcBorders>
            <w:tcMar>
              <w:left w:w="80" w:type="dxa"/>
              <w:top w:w="100" w:type="dxa"/>
              <w:right w:w="80" w:type="dxa"/>
              <w:bottom w:w="100" w:type="dxa"/>
            </w:tcMar>
            <w:tcW w:w="1736" w:type="dxa"/>
          </w:tcPr>
          <w:p w14:paraId="25A3272D" w14:textId="0DA57763">
            <w:pPr>
              <w:pStyle w:val="956"/>
              <w:numPr>
                <w:ilvl w:val="0"/>
                <w:numId w:val="15"/>
              </w:numPr>
              <w:pBdr/>
              <w:spacing/>
              <w:in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SNR1U08</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top w:val="none" w:color="000000" w:sz="4" w:space="0"/>
              <w:left w:val="none" w:color="000000" w:sz="4" w:space="0"/>
              <w:bottom w:val="single" w:color="auto" w:sz="4" w:space="0"/>
            </w:tcBorders>
            <w:tcMar>
              <w:left w:w="80" w:type="dxa"/>
              <w:top w:w="100" w:type="dxa"/>
              <w:right w:w="80" w:type="dxa"/>
              <w:bottom w:w="100" w:type="dxa"/>
            </w:tcMar>
            <w:tcW w:w="7641" w:type="dxa"/>
          </w:tcPr>
          <w:p w14:paraId="7F229E18" w14:textId="41320B21">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Apports de la biologie à la compréhension du rêve</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c000"/>
            <w:tcBorders>
              <w:top w:val="none" w:color="000000" w:sz="4" w:space="0"/>
              <w:bottom w:val="single" w:color="auto" w:sz="4" w:space="0"/>
            </w:tcBorders>
            <w:tcMar>
              <w:left w:w="80" w:type="dxa"/>
              <w:top w:w="100" w:type="dxa"/>
              <w:right w:w="80" w:type="dxa"/>
              <w:bottom w:w="100" w:type="dxa"/>
            </w:tcMar>
            <w:tcW w:w="529" w:type="dxa"/>
          </w:tcPr>
          <w:p w14:paraId="6E17FA20" w14:textId="37E1CE80">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3</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de75"/>
            <w:tcBorders>
              <w:top w:val="single" w:color="auto" w:sz="4" w:space="0"/>
              <w:bottom w:val="none" w:color="000000" w:sz="4" w:space="0"/>
              <w:right w:val="none" w:color="000000" w:sz="4" w:space="0"/>
            </w:tcBorders>
            <w:tcMar>
              <w:left w:w="80" w:type="dxa"/>
              <w:top w:w="100" w:type="dxa"/>
              <w:right w:w="80" w:type="dxa"/>
              <w:bottom w:w="100" w:type="dxa"/>
            </w:tcMar>
            <w:tcW w:w="1736" w:type="dxa"/>
          </w:tcPr>
          <w:p w14:paraId="43D6A5DC" w14:textId="3B36295E">
            <w:pPr>
              <w:pBdr/>
              <w:spacing/>
              <w:in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HPS1Y31</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single" w:color="auto" w:sz="4" w:space="0"/>
              <w:left w:val="none" w:color="000000" w:sz="4" w:space="0"/>
              <w:bottom w:val="none" w:color="000000" w:sz="4" w:space="0"/>
            </w:tcBorders>
            <w:tcMar>
              <w:left w:w="80" w:type="dxa"/>
              <w:top w:w="100" w:type="dxa"/>
              <w:right w:w="80" w:type="dxa"/>
              <w:bottom w:w="100" w:type="dxa"/>
            </w:tcMar>
            <w:tcW w:w="7641" w:type="dxa"/>
          </w:tcPr>
          <w:p w14:paraId="1CA5C0E4" w14:textId="10CC3A85">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Sciences du cerveau 1 : bloc biologie 2</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single" w:color="auto" w:sz="4" w:space="0"/>
              <w:bottom w:val="none" w:color="000000" w:sz="4" w:space="0"/>
            </w:tcBorders>
            <w:tcMar>
              <w:left w:w="80" w:type="dxa"/>
              <w:top w:w="100" w:type="dxa"/>
              <w:right w:w="80" w:type="dxa"/>
              <w:bottom w:w="100" w:type="dxa"/>
            </w:tcMar>
            <w:tcW w:w="529" w:type="dxa"/>
          </w:tcPr>
          <w:p w14:paraId="1DE5A7BF" w14:textId="2938DBE7">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de75"/>
            <w:tcBorders>
              <w:top w:val="none" w:color="000000" w:sz="4" w:space="0"/>
              <w:bottom w:val="none" w:color="000000" w:sz="4" w:space="0"/>
              <w:right w:val="none" w:color="000000" w:sz="4" w:space="0"/>
            </w:tcBorders>
            <w:tcMar>
              <w:left w:w="80" w:type="dxa"/>
              <w:top w:w="100" w:type="dxa"/>
              <w:right w:w="80" w:type="dxa"/>
              <w:bottom w:w="100" w:type="dxa"/>
            </w:tcMar>
            <w:tcW w:w="1736" w:type="dxa"/>
          </w:tcPr>
          <w:p w14:paraId="0C7ADAE4" w14:textId="0F6F6828">
            <w:pPr>
              <w:pStyle w:val="956"/>
              <w:numPr>
                <w:ilvl w:val="0"/>
                <w:numId w:val="15"/>
              </w:numPr>
              <w:pBdr/>
              <w:spacing/>
              <w:in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SNR1U09</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none" w:color="000000" w:sz="4" w:space="0"/>
              <w:left w:val="none" w:color="000000" w:sz="4" w:space="0"/>
              <w:bottom w:val="none" w:color="000000" w:sz="4" w:space="0"/>
            </w:tcBorders>
            <w:tcMar>
              <w:left w:w="80" w:type="dxa"/>
              <w:top w:w="100" w:type="dxa"/>
              <w:right w:w="80" w:type="dxa"/>
              <w:bottom w:w="100" w:type="dxa"/>
            </w:tcMar>
            <w:tcW w:w="7641" w:type="dxa"/>
          </w:tcPr>
          <w:p w14:paraId="602C22BC" w14:textId="3CC79B26">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Histoire des sciences du cerveau</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none" w:color="000000" w:sz="4" w:space="0"/>
              <w:bottom w:val="none" w:color="000000" w:sz="4" w:space="0"/>
            </w:tcBorders>
            <w:tcMar>
              <w:left w:w="80" w:type="dxa"/>
              <w:top w:w="100" w:type="dxa"/>
              <w:right w:w="80" w:type="dxa"/>
              <w:bottom w:w="100" w:type="dxa"/>
            </w:tcMar>
            <w:tcW w:w="529" w:type="dxa"/>
          </w:tcPr>
          <w:p w14:paraId="183D7232" w14:textId="0558FB12">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3</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shd w:val="clear" w:color="auto" w:fill="ffde75"/>
            <w:tcBorders>
              <w:top w:val="none" w:color="000000" w:sz="4" w:space="0"/>
              <w:right w:val="none" w:color="000000" w:sz="4" w:space="0"/>
            </w:tcBorders>
            <w:tcMar>
              <w:left w:w="80" w:type="dxa"/>
              <w:top w:w="100" w:type="dxa"/>
              <w:right w:w="80" w:type="dxa"/>
              <w:bottom w:w="100" w:type="dxa"/>
            </w:tcMar>
            <w:tcW w:w="1736" w:type="dxa"/>
          </w:tcPr>
          <w:p w14:paraId="47BCC22A" w14:textId="3DD3BA44">
            <w:pPr>
              <w:pStyle w:val="956"/>
              <w:numPr>
                <w:ilvl w:val="0"/>
                <w:numId w:val="15"/>
              </w:numPr>
              <w:pBdr/>
              <w:spacing/>
              <w:ind/>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SNR1U10</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none" w:color="000000" w:sz="4" w:space="0"/>
              <w:left w:val="none" w:color="000000" w:sz="4" w:space="0"/>
            </w:tcBorders>
            <w:tcMar>
              <w:left w:w="80" w:type="dxa"/>
              <w:top w:w="100" w:type="dxa"/>
              <w:right w:w="80" w:type="dxa"/>
              <w:bottom w:w="100" w:type="dxa"/>
            </w:tcMar>
            <w:tcW w:w="7641" w:type="dxa"/>
          </w:tcPr>
          <w:p w14:paraId="2F71AB63" w14:textId="19428D71">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Méthodes d’étude des fonctions mentales</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shd w:val="clear" w:color="auto" w:fill="ffde75"/>
            <w:tcBorders>
              <w:top w:val="none" w:color="000000" w:sz="4" w:space="0"/>
            </w:tcBorders>
            <w:tcMar>
              <w:left w:w="80" w:type="dxa"/>
              <w:top w:w="100" w:type="dxa"/>
              <w:right w:w="80" w:type="dxa"/>
              <w:bottom w:w="100" w:type="dxa"/>
            </w:tcMar>
            <w:tcW w:w="529" w:type="dxa"/>
          </w:tcPr>
          <w:p w14:paraId="36C8BE8C" w14:textId="41A4A653">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3</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04410024" w14:textId="739DA52D">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HPS1U35</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7641" w:type="dxa"/>
          </w:tcPr>
          <w:p w14:paraId="4CAF28F6" w14:textId="01D69DDF">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Initiation à la sociologie pour psychologues</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76C354EF" w14:textId="2173247E">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0DE2FBEE" w14:textId="462376F6">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HPS1U36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7641" w:type="dxa"/>
          </w:tcPr>
          <w:p w14:paraId="57E79DB8" w14:textId="355D8634">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Philosophie pour psychologues 1</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6B9A87E3" w14:textId="77777777">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20C7D31C" w14:textId="6416275B">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HPS1U37</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7641" w:type="dxa"/>
          </w:tcPr>
          <w:p w14:paraId="2CFAA6E0" w14:textId="40F0C2A6">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Anthropologie sociale pour psychologues</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26E0A0B7" w14:textId="6F68260E">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319EFBD6" w14:textId="764821A3">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HLG5U24</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7641" w:type="dxa"/>
          </w:tcPr>
          <w:p w14:paraId="3B30150A" w14:textId="63A243A7">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Etudes de genre : Pour une approche culturelle</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3EA3E15F" w14:textId="630A4BE3">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596665EE" w14:textId="1190BC35">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HHU1U09</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7641" w:type="dxa"/>
          </w:tcPr>
          <w:p w14:paraId="48614E67" w14:textId="6701AE52">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Grec ancien niveau 1</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58099152" w14:textId="22C32251">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5887843D" w14:textId="2D701879">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HHU1U</w:t>
            </w:r>
            <w:r>
              <w:rPr>
                <w:rFonts w:asciiTheme="minorHAnsi" w:hAnsiTheme="minorHAnsi" w:cstheme="minorHAnsi"/>
                <w:color w:val="000000" w:themeColor="text1"/>
                <w:sz w:val="18"/>
                <w:szCs w:val="18"/>
              </w:rPr>
              <w:t xml:space="preserve">10</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bottom w:val="single" w:color="auto" w:sz="4" w:space="0"/>
            </w:tcBorders>
            <w:tcMar>
              <w:left w:w="80" w:type="dxa"/>
              <w:top w:w="100" w:type="dxa"/>
              <w:right w:w="80" w:type="dxa"/>
              <w:bottom w:w="100" w:type="dxa"/>
            </w:tcMar>
            <w:tcW w:w="7641" w:type="dxa"/>
          </w:tcPr>
          <w:p w14:paraId="61E8F0A6" w14:textId="2DE3AD3E">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Grec ancien niveau 3</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4064FE00" w14:textId="33084C7A">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r>
        <w:trPr>
          <w:trHeight w:val="20"/>
        </w:trPr>
        <w:tc>
          <w:tcPr>
            <w:tcBorders/>
            <w:tcMar>
              <w:left w:w="80" w:type="dxa"/>
              <w:top w:w="100" w:type="dxa"/>
              <w:right w:w="80" w:type="dxa"/>
              <w:bottom w:w="100" w:type="dxa"/>
            </w:tcMar>
            <w:tcW w:w="1736" w:type="dxa"/>
          </w:tcPr>
          <w:p w14:paraId="3288C8DE" w14:textId="04520893">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HHU</w:t>
            </w:r>
            <w:r>
              <w:rPr>
                <w:rFonts w:asciiTheme="minorHAnsi" w:hAnsiTheme="minorHAnsi" w:cstheme="minorHAnsi"/>
                <w:color w:val="000000" w:themeColor="text1"/>
                <w:sz w:val="18"/>
                <w:szCs w:val="18"/>
              </w:rPr>
              <w:t xml:space="preserve">3</w:t>
            </w:r>
            <w:r>
              <w:rPr>
                <w:rFonts w:asciiTheme="minorHAnsi" w:hAnsiTheme="minorHAnsi" w:cstheme="minorHAnsi"/>
                <w:color w:val="000000" w:themeColor="text1"/>
                <w:sz w:val="18"/>
                <w:szCs w:val="18"/>
              </w:rPr>
              <w:t xml:space="preserve">U0</w:t>
            </w:r>
            <w:r>
              <w:rPr>
                <w:rFonts w:asciiTheme="minorHAnsi" w:hAnsiTheme="minorHAnsi" w:cstheme="minorHAnsi"/>
                <w:color w:val="000000" w:themeColor="text1"/>
                <w:sz w:val="18"/>
                <w:szCs w:val="18"/>
              </w:rPr>
              <w:t xml:space="preserve">2</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bottom w:val="single" w:color="auto" w:sz="4" w:space="0"/>
            </w:tcBorders>
            <w:tcMar>
              <w:left w:w="80" w:type="dxa"/>
              <w:top w:w="100" w:type="dxa"/>
              <w:right w:w="80" w:type="dxa"/>
              <w:bottom w:w="100" w:type="dxa"/>
            </w:tcMar>
            <w:tcW w:w="7641" w:type="dxa"/>
          </w:tcPr>
          <w:p w14:paraId="448EAC30" w14:textId="72E89285">
            <w:pPr>
              <w:pBdr/>
              <w:spacing/>
              <w:ind/>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Grec ancien niveau 5</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c>
          <w:tcPr>
            <w:tcBorders/>
            <w:tcMar>
              <w:left w:w="80" w:type="dxa"/>
              <w:top w:w="100" w:type="dxa"/>
              <w:right w:w="80" w:type="dxa"/>
              <w:bottom w:w="100" w:type="dxa"/>
            </w:tcMar>
            <w:tcW w:w="529" w:type="dxa"/>
          </w:tcPr>
          <w:p w14:paraId="3070887A" w14:textId="606AAFFF">
            <w:pPr>
              <w:pBdr/>
              <w:spacing/>
              <w:ind w:left="60"/>
              <w:contextualSpacing w:val="true"/>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6</w:t>
            </w:r>
            <w:r>
              <w:rPr>
                <w:rFonts w:asciiTheme="minorHAnsi" w:hAnsiTheme="minorHAnsi" w:cstheme="minorHAnsi"/>
                <w:color w:val="000000" w:themeColor="text1"/>
                <w:sz w:val="18"/>
                <w:szCs w:val="18"/>
              </w:rPr>
            </w:r>
            <w:r>
              <w:rPr>
                <w:rFonts w:asciiTheme="minorHAnsi" w:hAnsiTheme="minorHAnsi" w:cstheme="minorHAnsi"/>
                <w:color w:val="000000" w:themeColor="text1"/>
                <w:sz w:val="18"/>
                <w:szCs w:val="18"/>
              </w:rPr>
            </w:r>
          </w:p>
        </w:tc>
      </w:tr>
    </w:tbl>
    <w:p w14:paraId="6ADB1B25" w14:textId="0B2350B7">
      <w:pPr>
        <w:pBdr/>
        <w:tabs>
          <w:tab w:val="left" w:leader="none" w:pos="1287"/>
        </w:tabs>
        <w:spacing/>
        <w:ind/>
        <w:jc w:val="center"/>
        <w:rPr>
          <w:rFonts w:asciiTheme="majorHAnsi" w:hAnsiTheme="majorHAnsi" w:cstheme="majorHAnsi"/>
          <w:color w:val="000000" w:themeColor="text1"/>
          <w:sz w:val="22"/>
          <w:szCs w:val="22"/>
        </w:rPr>
      </w:pPr>
      <w:r/>
      <w:bookmarkStart w:id="1" w:name="_Hlk169598123"/>
      <w:r/>
      <w:bookmarkEnd w:id="0"/>
      <w:r>
        <w:rPr>
          <w:rFonts w:asciiTheme="majorHAnsi" w:hAnsiTheme="majorHAnsi" w:cstheme="majorHAnsi"/>
          <w:color w:val="000000" w:themeColor="text1"/>
          <w:sz w:val="22"/>
          <w:szCs w:val="22"/>
        </w:rPr>
        <w:t xml:space="preserve">OPTION HORS DISCIPLINE 1</w:t>
      </w:r>
      <w:bookmarkEnd w:id="1"/>
      <w:r>
        <w:rPr>
          <w:rFonts w:asciiTheme="majorHAnsi" w:hAnsiTheme="majorHAnsi" w:cstheme="majorHAnsi"/>
          <w:color w:val="000000" w:themeColor="text1"/>
          <w:sz w:val="22"/>
          <w:szCs w:val="22"/>
        </w:rPr>
      </w:r>
      <w:r>
        <w:rPr>
          <w:rFonts w:asciiTheme="majorHAnsi" w:hAnsiTheme="majorHAnsi" w:cstheme="majorHAnsi"/>
          <w:color w:val="000000" w:themeColor="text1"/>
          <w:sz w:val="22"/>
          <w:szCs w:val="22"/>
        </w:rPr>
      </w:r>
    </w:p>
    <w:p w14:paraId="72AD4390"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DAD64C3" w14:textId="77777777">
            <w:pPr>
              <w:pBdr/>
              <w:spacing/>
              <w:ind/>
              <w:rPr>
                <w:rFonts w:asciiTheme="minorHAnsi" w:hAnsiTheme="minorHAnsi" w:cstheme="minorHAnsi"/>
                <w:b/>
                <w:color w:val="000000" w:themeColor="text1"/>
                <w:sz w:val="20"/>
                <w:szCs w:val="20"/>
              </w:rPr>
            </w:pPr>
            <w:r/>
            <w:bookmarkStart w:id="2" w:name="_Hlk172194567"/>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FFF675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26765A8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57AFED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SNR1U07</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012263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35230B3"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Comportement et cognition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A55A5E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CB481F" w14:textId="6251F195">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Mémoire, Langage, Attention, Fonctions Exécutives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2C5134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D80C3FB" w14:textId="7CADBF29">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Fournir aux étudiants de solides connaissances sur 4 domaines cognitifs : le langage (fonction instrumentale), la mémoire, l’attention et le système exécutif ainsi que sur leurs interactions.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A515FF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EDBDFA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FCAB013"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D1865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3416D5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9E73582" w14:textId="77777777">
            <w:pPr>
              <w:pStyle w:val="956"/>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Acquérir les grands principes du fonctionnement cognitif humain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5FC6F8D" w14:textId="77777777">
            <w:pPr>
              <w:pStyle w:val="956"/>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Comprendre les liens entre fonctions cognitives et comportement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45DC2EDB" w14:textId="004F9E5C">
            <w:pPr>
              <w:pStyle w:val="956"/>
              <w:numPr>
                <w:ilvl w:val="0"/>
                <w:numId w:val="15"/>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Être capable de résumer le fonctionnement de chaque domaine cognitif abordé</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D27897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0D2D3E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C11478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F111E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Caroline Chambon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48619E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9BED9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231BB6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F01CB6" w14:textId="77777777">
            <w:pPr>
              <w:pBdr/>
              <w:spacing/>
              <w:ind/>
              <w:rPr>
                <w:rFonts w:ascii="Calibri" w:hAnsi="Calibri" w:cs="Calibri"/>
                <w:color w:val="000000"/>
                <w:sz w:val="20"/>
                <w:szCs w:val="20"/>
              </w:rPr>
            </w:pPr>
            <w:r>
              <w:rPr>
                <w:rFonts w:ascii="Calibri" w:hAnsi="Calibri" w:cs="Calibri"/>
                <w:color w:val="000000"/>
                <w:sz w:val="20"/>
                <w:szCs w:val="20"/>
              </w:rPr>
              <w:t xml:space="preserve">Vendredi 10h-12h</w:t>
            </w:r>
            <w:r>
              <w:rPr>
                <w:rFonts w:ascii="Calibri" w:hAnsi="Calibri" w:cs="Calibri"/>
                <w:color w:val="000000"/>
                <w:sz w:val="20"/>
                <w:szCs w:val="20"/>
              </w:rPr>
            </w:r>
            <w:r>
              <w:rPr>
                <w:rFonts w:ascii="Calibri" w:hAnsi="Calibri" w:cs="Calibri"/>
                <w:color w:val="000000"/>
                <w:sz w:val="20"/>
                <w:szCs w:val="20"/>
              </w:rPr>
            </w:r>
          </w:p>
          <w:p w14:paraId="0E8A635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51A1F2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628DEB9" w14:textId="0B872026">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Calibri" w:hAnsi="Calibri" w:cs="Calibri"/>
                <w:color w:val="000000"/>
                <w:sz w:val="20"/>
                <w:szCs w:val="20"/>
              </w:rPr>
              <w:t xml:space="preserve">La présence au cours est obligatoire, les étudiants doivent avoir accès à </w:t>
            </w:r>
            <w:r>
              <w:rPr>
                <w:rFonts w:ascii="Calibri" w:hAnsi="Calibri" w:cs="Calibri"/>
                <w:color w:val="000000"/>
                <w:sz w:val="20"/>
                <w:szCs w:val="20"/>
              </w:rPr>
              <w:t xml:space="preserve">amétice</w:t>
            </w:r>
            <w:r>
              <w:rPr>
                <w:rFonts w:ascii="Calibri" w:hAnsi="Calibri" w:cs="Calibri"/>
                <w:color w:val="000000"/>
                <w:sz w:val="20"/>
                <w:szCs w:val="20"/>
              </w:rPr>
              <w:t xml:space="preserve"> dès le début de l'année. Toutes les remises de devoirs se feront par </w:t>
            </w:r>
            <w:r>
              <w:rPr>
                <w:rFonts w:ascii="Calibri" w:hAnsi="Calibri" w:cs="Calibri"/>
                <w:color w:val="000000"/>
                <w:sz w:val="20"/>
                <w:szCs w:val="20"/>
              </w:rPr>
              <w:t xml:space="preserve">amétice</w:t>
            </w:r>
            <w:r>
              <w:rPr>
                <w:rFonts w:ascii="Calibri" w:hAnsi="Calibri" w:cs="Calibri"/>
                <w:color w:val="000000"/>
                <w:sz w:val="20"/>
                <w:szCs w:val="20"/>
              </w:rPr>
              <w:t xml:space="preser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39A278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BEB03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FE6955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FBD7C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D1BAD8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DDA8F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24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258064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F6BB5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CA4D7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F0414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922B94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429A86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D6C28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3F2285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CE7B6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04D354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A9E74A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ECE707" w14:textId="2752010B">
            <w:pPr>
              <w:pBdr>
                <w:top w:val="none" w:color="000000" w:sz="4" w:space="0"/>
                <w:left w:val="none" w:color="000000" w:sz="4" w:space="0"/>
                <w:bottom w:val="none" w:color="000000" w:sz="4" w:space="0"/>
                <w:right w:val="none" w:color="000000" w:sz="4" w:space="0"/>
                <w:between w:val="none" w:color="000000" w:sz="4" w:space="0"/>
              </w:pBdr>
              <w:spacing/>
              <w:ind/>
              <w:rPr>
                <w:rFonts w:ascii="Calibri" w:hAnsi="Calibri" w:cs="Calibri"/>
                <w:color w:val="000000"/>
                <w:sz w:val="20"/>
                <w:szCs w:val="20"/>
              </w:rPr>
            </w:pPr>
            <w:r>
              <w:rPr>
                <w:rFonts w:ascii="Calibri" w:hAnsi="Calibri" w:cs="Calibri"/>
                <w:color w:val="000000"/>
                <w:sz w:val="20"/>
                <w:szCs w:val="20"/>
              </w:rPr>
              <w:t xml:space="preserve">Contrôle </w:t>
            </w:r>
            <w:r>
              <w:rPr>
                <w:rFonts w:ascii="Calibri" w:hAnsi="Calibri" w:cs="Calibri"/>
                <w:color w:val="000000"/>
                <w:sz w:val="20"/>
                <w:szCs w:val="20"/>
              </w:rPr>
              <w:t xml:space="preserve">terminal</w:t>
            </w:r>
            <w:r>
              <w:rPr>
                <w:rFonts w:ascii="Calibri" w:hAnsi="Calibri" w:cs="Calibri"/>
                <w:color w:val="000000"/>
                <w:sz w:val="20"/>
                <w:szCs w:val="20"/>
              </w:rPr>
            </w:r>
            <w:r>
              <w:rPr>
                <w:rFonts w:ascii="Calibri" w:hAnsi="Calibri" w:cs="Calibri"/>
                <w:color w:val="000000"/>
                <w:sz w:val="20"/>
                <w:szCs w:val="20"/>
              </w:rPr>
            </w:r>
          </w:p>
        </w:tc>
      </w:tr>
      <w:tr>
        <w:trPr/>
        <w:tc>
          <w:tcPr>
            <w:shd w:val="clear" w:color="auto" w:fill="auto"/>
            <w:tcBorders>
              <w:left w:val="single" w:color="000000" w:sz="4" w:space="0"/>
              <w:bottom w:val="single" w:color="000000" w:sz="4" w:space="0"/>
            </w:tcBorders>
            <w:tcW w:w="3402" w:type="dxa"/>
          </w:tcPr>
          <w:p w14:paraId="00141D8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BD3DAD" w14:textId="4BDEF9CB">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2"/>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4560394C"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783052F"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86A971F"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C3438D5"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br w:type="page" w:clear="all"/>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8C66ED0" w14:textId="77777777">
            <w:pPr>
              <w:pBdr/>
              <w:spacing/>
              <w:ind/>
              <w:rPr>
                <w:rFonts w:asciiTheme="minorHAnsi" w:hAnsiTheme="minorHAnsi" w:cstheme="minorHAnsi"/>
                <w:b/>
                <w:color w:val="000000" w:themeColor="text1"/>
                <w:sz w:val="20"/>
                <w:szCs w:val="20"/>
              </w:rPr>
            </w:pPr>
            <w:r/>
            <w:bookmarkStart w:id="3" w:name="_Hlk172194596"/>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960B9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2D74542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2CC486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SNR1U08</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D1FCB2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C166AA"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Apports de la biologie à la compréhension du rêve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5ADAC8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C0C4A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Rêve, Substrat cérébral, Neurosciences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4B0BA8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AEFEFE8"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Après avoir abordé succinctement les notions d’états de vigilance, de sommeil et la notion de rêve sur un plan purement phénoménologique, une approche épistémologique visera à identifier les substrats cérébraux du rêve.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8EF353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BD868C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F770A12"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4CA3E0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53AC074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99F45B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identifier les informations pertinentes dans un article scientifique ou une figure associée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E4370E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Interpréter un résultat scientifique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C4F107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Discuter les similitudes et les différences entre le rêve et l’éveil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C885A3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5F9235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776F3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9701A2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Jean-Michel </w:t>
            </w:r>
            <w:r>
              <w:rPr>
                <w:rFonts w:asciiTheme="minorHAnsi" w:hAnsiTheme="minorHAnsi" w:cstheme="minorHAnsi"/>
                <w:color w:val="000000" w:themeColor="text1"/>
                <w:sz w:val="20"/>
                <w:szCs w:val="20"/>
              </w:rPr>
              <w:t xml:space="preserve">Brezun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CF54A4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30868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Jean-Michel </w:t>
            </w:r>
            <w:r>
              <w:rPr>
                <w:rFonts w:asciiTheme="minorHAnsi" w:hAnsiTheme="minorHAnsi" w:cstheme="minorHAnsi"/>
                <w:color w:val="000000" w:themeColor="text1"/>
                <w:sz w:val="20"/>
                <w:szCs w:val="20"/>
              </w:rPr>
              <w:t xml:space="preserve">Brezun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41B4EB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6A7C7DA" w14:textId="77777777">
            <w:pPr>
              <w:pBdr/>
              <w:spacing/>
              <w:ind/>
              <w:rPr>
                <w:rFonts w:ascii="Calibri" w:hAnsi="Calibri" w:cs="Calibri"/>
                <w:color w:val="000000"/>
                <w:sz w:val="20"/>
                <w:szCs w:val="20"/>
              </w:rPr>
            </w:pPr>
            <w:r>
              <w:rPr>
                <w:rFonts w:ascii="Calibri" w:hAnsi="Calibri" w:cs="Calibri"/>
                <w:color w:val="000000"/>
                <w:sz w:val="20"/>
                <w:szCs w:val="20"/>
              </w:rPr>
              <w:t xml:space="preserve">Vendredi 8h-10h</w:t>
            </w:r>
            <w:r>
              <w:rPr>
                <w:rFonts w:ascii="Calibri" w:hAnsi="Calibri" w:cs="Calibri"/>
                <w:color w:val="000000"/>
                <w:sz w:val="20"/>
                <w:szCs w:val="20"/>
              </w:rPr>
            </w:r>
            <w:r>
              <w:rPr>
                <w:rFonts w:ascii="Calibri" w:hAnsi="Calibri" w:cs="Calibri"/>
                <w:color w:val="000000"/>
                <w:sz w:val="20"/>
                <w:szCs w:val="20"/>
              </w:rPr>
            </w:r>
          </w:p>
          <w:p w14:paraId="4DAADC5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55B5F0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D58B50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Apprentissage inversé et expérientiel</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5E605F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480C27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A368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FD3F1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17618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05074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Neurosciences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1FB63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9E5B2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24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70D64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DA5DC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Aucune (ne pas lire ou visionner de documents sur ce thème, des documents spécifiques seront à lire avant les cours)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74A91B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2C506D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C1317C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84B0F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7B1B67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B0FEB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DC3B31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BB7E8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7B0425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2C47A8" w14:textId="79A0032B">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color w:val="000000" w:themeColor="text1"/>
                <w:sz w:val="20"/>
                <w:szCs w:val="20"/>
              </w:rPr>
            </w:pPr>
            <w:r>
              <w:rPr>
                <w:rFonts w:asciiTheme="minorHAnsi" w:hAnsiTheme="minorHAnsi" w:cstheme="minorHAnsi"/>
                <w:bCs/>
                <w:i/>
                <w:iCs/>
                <w:color w:val="000000" w:themeColor="text1"/>
                <w:sz w:val="20"/>
                <w:szCs w:val="20"/>
              </w:rPr>
              <w:t xml:space="preserve">Contrôle terminal</w:t>
            </w:r>
            <w:r>
              <w:rPr>
                <w:rFonts w:asciiTheme="minorHAnsi" w:hAnsiTheme="minorHAnsi" w:cstheme="minorHAnsi"/>
                <w:bCs/>
                <w:color w:val="000000" w:themeColor="text1"/>
                <w:sz w:val="20"/>
                <w:szCs w:val="20"/>
              </w:rPr>
            </w:r>
            <w:r>
              <w:rPr>
                <w:rFonts w:asciiTheme="minorHAnsi" w:hAnsiTheme="minorHAnsi" w:cstheme="minorHAnsi"/>
                <w:bCs/>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E6A712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84FA4E" w14:textId="51FD95C0">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3"/>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32FE3293"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CE70D43"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6F4B7B5"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538519B" w14:textId="75EC04F9">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A87C8B4" w14:textId="462B9228">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092F09C" w14:textId="70254F9C">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26C03B0"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C9F594A" w14:textId="77777777">
      <w:pPr>
        <w:pBdr/>
        <w:tabs>
          <w:tab w:val="left" w:leader="none" w:pos="1287"/>
        </w:tabs>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8312546" w14:textId="4A017EC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669A0E3" w14:textId="0D4E0354">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4E25F59"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66607C6" w14:textId="06D40DF0">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027720D" w14:textId="544F299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BFBBA5B" w14:textId="032924DB">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C779955" w14:textId="73423F6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31F37F5" w14:textId="2FB2783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33EF619" w14:textId="77777777">
            <w:pPr>
              <w:pBdr/>
              <w:spacing/>
              <w:ind/>
              <w:rPr>
                <w:rFonts w:asciiTheme="minorHAnsi" w:hAnsiTheme="minorHAnsi" w:cstheme="minorHAnsi"/>
                <w:b/>
                <w:color w:val="000000" w:themeColor="text1"/>
                <w:sz w:val="20"/>
                <w:szCs w:val="20"/>
              </w:rPr>
            </w:pPr>
            <w:r/>
            <w:bookmarkStart w:id="4" w:name="_Hlk172194610"/>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174009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5EBD041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451D85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SNR1U09</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AFC946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D6B938"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Histoire des sciences du cerveau</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331BA8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5CCE30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Théorie humorale, Le cerveau machine, Localisationnisme, Connexionnisme, Sciences de la cognition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222302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49D1BFB"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Cet enseignement optionnel vise à présenter la formation des concepts</w:t>
            </w:r>
            <w:r>
              <w:rPr>
                <w:rFonts w:asciiTheme="minorHAnsi" w:hAnsiTheme="minorHAnsi" w:cstheme="minorHAnsi"/>
                <w:color w:val="000000" w:themeColor="text1"/>
                <w:sz w:val="20"/>
                <w:szCs w:val="20"/>
              </w:rPr>
              <w:t xml:space="preserve"> et des théories en neurosciences depuis l’Antiquité jusqu’à nos jours. La naissance et les perspectives des grands domaines qui composent les sciences du cerveau seront traitées : des neurosciences moléculaires et cellulaires aux sciences de la cognition.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0E1B31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DA0B1D4" w14:textId="65D4103F">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 </w:t>
            </w:r>
            <w:r>
              <w:rPr>
                <w:rFonts w:asciiTheme="minorHAnsi" w:hAnsiTheme="minorHAnsi" w:cstheme="minorHAnsi"/>
                <w:color w:val="000000" w:themeColor="text1"/>
                <w:sz w:val="20"/>
                <w:szCs w:val="20"/>
              </w:rPr>
              <w:t xml:space="preserve">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FD4350A"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B039BA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3661C92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6DCB48" w14:textId="77777777">
            <w:pPr>
              <w:pStyle w:val="956"/>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Savoir replacer une théorie scientifique dans son contexte historique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6F1C7041" w14:textId="77777777">
            <w:pPr>
              <w:pStyle w:val="956"/>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Connaître les grandes disciplines qui recouvrent les Neurosciences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10B6B6B" w14:textId="77777777">
            <w:pPr>
              <w:pStyle w:val="956"/>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Connaître les grandes évolutions historiques en Neurosciences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1E24C0D0" w14:textId="77777777">
            <w:pPr>
              <w:pStyle w:val="956"/>
              <w:numPr>
                <w:ilvl w:val="0"/>
                <w:numId w:val="6"/>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Eveiller une réflexion épistémologique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0305B65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DA971B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87CACD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0B5C5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E121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Anne </w:t>
            </w:r>
            <w:r>
              <w:rPr>
                <w:rFonts w:asciiTheme="minorHAnsi" w:hAnsiTheme="minorHAnsi" w:cstheme="minorHAnsi"/>
                <w:color w:val="000000" w:themeColor="text1"/>
                <w:sz w:val="20"/>
                <w:szCs w:val="20"/>
              </w:rPr>
              <w:t xml:space="preserve">Kavounoudias</w:t>
            </w:r>
            <w:r>
              <w:rPr>
                <w:rFonts w:asciiTheme="minorHAnsi" w:hAnsiTheme="minorHAnsi" w:cstheme="minorHAnsi"/>
                <w:color w:val="000000" w:themeColor="text1"/>
                <w:sz w:val="20"/>
                <w:szCs w:val="20"/>
              </w:rPr>
              <w:t xml:space="preserve"> - </w:t>
            </w:r>
            <w:hyperlink r:id="rId16" w:tooltip="mailto:Anne.Kavounoudias@univ-amu.fr" w:history="1">
              <w:r>
                <w:rPr>
                  <w:rFonts w:asciiTheme="minorHAnsi" w:hAnsiTheme="minorHAnsi" w:cstheme="minorHAnsi"/>
                  <w:color w:val="000000" w:themeColor="text1"/>
                  <w:sz w:val="20"/>
                  <w:szCs w:val="20"/>
                  <w:u w:val="single"/>
                </w:rPr>
                <w:t xml:space="preserve">Anne.Kavounoudias@univ-amu.fr</w:t>
              </w:r>
            </w:hyperlink>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DCCB9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7A887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Anne </w:t>
            </w:r>
            <w:r>
              <w:rPr>
                <w:rFonts w:asciiTheme="minorHAnsi" w:hAnsiTheme="minorHAnsi" w:cstheme="minorHAnsi"/>
                <w:color w:val="000000" w:themeColor="text1"/>
                <w:sz w:val="20"/>
                <w:szCs w:val="20"/>
              </w:rPr>
              <w:t xml:space="preserve">Kavounoudias</w:t>
            </w:r>
            <w:r>
              <w:rPr>
                <w:rFonts w:asciiTheme="minorHAnsi" w:hAnsiTheme="minorHAnsi" w:cstheme="minorHAnsi"/>
                <w:color w:val="000000" w:themeColor="text1"/>
                <w:sz w:val="20"/>
                <w:szCs w:val="20"/>
              </w:rPr>
              <w:t xml:space="preserve"> &amp; Marie Montant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280C3F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0EA5052" w14:textId="77777777">
            <w:pPr>
              <w:pBdr/>
              <w:spacing/>
              <w:ind/>
              <w:rPr>
                <w:rFonts w:ascii="Calibri" w:hAnsi="Calibri" w:cs="Calibri"/>
                <w:color w:val="000000"/>
                <w:sz w:val="20"/>
                <w:szCs w:val="20"/>
              </w:rPr>
            </w:pPr>
            <w:r>
              <w:rPr>
                <w:rFonts w:ascii="Calibri" w:hAnsi="Calibri" w:cs="Calibri"/>
                <w:color w:val="000000"/>
                <w:sz w:val="20"/>
                <w:szCs w:val="20"/>
              </w:rPr>
              <w:t xml:space="preserve">Lundi 8h-10h (sur Saint Charles)</w:t>
            </w:r>
            <w:r>
              <w:rPr>
                <w:rFonts w:ascii="Calibri" w:hAnsi="Calibri" w:cs="Calibri"/>
                <w:color w:val="000000"/>
                <w:sz w:val="20"/>
                <w:szCs w:val="20"/>
              </w:rPr>
            </w:r>
            <w:r>
              <w:rPr>
                <w:rFonts w:ascii="Calibri" w:hAnsi="Calibri" w:cs="Calibri"/>
                <w:color w:val="000000"/>
                <w:sz w:val="20"/>
                <w:szCs w:val="20"/>
              </w:rPr>
            </w:r>
          </w:p>
          <w:p w14:paraId="081803C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74FA32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532D42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2DDDBB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442AA2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98B536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10AC12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21C03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D7D30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Biologie - Neurosciences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CB691C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0275C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24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81EAA4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78021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Histoire du Cerveau, de l’Antiquité aux Neurosciences– André Parent –PUL</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5F44BE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Encyclopédie historique des Neurosciences – du neurone à l’émergence de la conscience – F </w:t>
            </w:r>
            <w:r>
              <w:rPr>
                <w:rFonts w:asciiTheme="minorHAnsi" w:hAnsiTheme="minorHAnsi" w:cstheme="minorHAnsi"/>
                <w:color w:val="000000" w:themeColor="text1"/>
                <w:sz w:val="20"/>
                <w:szCs w:val="20"/>
              </w:rPr>
              <w:t xml:space="preserve">Clarac</w:t>
            </w:r>
            <w:r>
              <w:rPr>
                <w:rFonts w:asciiTheme="minorHAnsi" w:hAnsiTheme="minorHAnsi" w:cstheme="minorHAnsi"/>
                <w:color w:val="000000" w:themeColor="text1"/>
                <w:sz w:val="20"/>
                <w:szCs w:val="20"/>
              </w:rPr>
              <w:t xml:space="preserve"> &amp; JP Ternaux – De Boeck édition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24F07F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CF092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6F419C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8D936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04CF94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0375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6E30C4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F5B7A2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1E0E8D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5067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i/>
                <w:color w:val="000000" w:themeColor="text1"/>
                <w:sz w:val="20"/>
                <w:szCs w:val="20"/>
              </w:rPr>
              <w:t xml:space="preserve">Contrôle terminal</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A3DCB0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A31E64" w14:textId="0B8AF66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4"/>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6CBA9106" w14:textId="4C5A721D">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4D8A1C5" w14:textId="45C2D73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EC7FC60" w14:textId="3929D81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5532BA5" w14:textId="32BE0B2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FBE58BE" w14:textId="045F43C0">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5B6BE3E" w14:textId="5EAD31C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55B96A8" w14:textId="0AA67B44">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FD38FE2" w14:textId="6243A31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ACB1AAA" w14:textId="7B7084CA">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6A320B6"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A560CE4"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5D1BB7F" w14:textId="5A12992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731E927" w14:textId="77777777">
            <w:pPr>
              <w:pBdr/>
              <w:spacing/>
              <w:ind/>
              <w:rPr>
                <w:rFonts w:asciiTheme="minorHAnsi" w:hAnsiTheme="minorHAnsi" w:cstheme="minorHAnsi"/>
                <w:b/>
                <w:color w:val="000000" w:themeColor="text1"/>
                <w:sz w:val="20"/>
                <w:szCs w:val="20"/>
              </w:rPr>
            </w:pPr>
            <w:r/>
            <w:bookmarkStart w:id="5" w:name="_Hlk172194625"/>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0CA509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FC5C4D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11D8D3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SNR1U10</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39B3FA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E56DF1"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Méthodes d’étude des fonctions mentales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27688A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8663F7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sz w:val="20"/>
                <w:szCs w:val="20"/>
              </w:rPr>
              <w:t xml:space="preserve">Comportement, psychophysique, électrophysiologie, </w:t>
            </w:r>
            <w:r>
              <w:rPr>
                <w:rFonts w:asciiTheme="minorHAnsi" w:hAnsiTheme="minorHAnsi" w:cstheme="minorHAnsi"/>
                <w:sz w:val="20"/>
                <w:szCs w:val="20"/>
              </w:rPr>
              <w:t xml:space="preserve">IRM,  tests</w:t>
            </w:r>
            <w:r>
              <w:rPr>
                <w:rFonts w:asciiTheme="minorHAnsi" w:hAnsiTheme="minorHAnsi" w:cstheme="minorHAnsi"/>
                <w:sz w:val="20"/>
                <w:szCs w:val="20"/>
              </w:rPr>
              <w:t xml:space="preserve"> cognitifs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173CC9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27BD274" w14:textId="77777777">
            <w:pPr>
              <w:pBdr/>
              <w:spacing/>
              <w:ind/>
              <w:rPr>
                <w:rFonts w:asciiTheme="minorHAnsi" w:hAnsiTheme="minorHAnsi" w:cstheme="minorHAnsi"/>
                <w:color w:val="000000" w:themeColor="text1"/>
                <w:sz w:val="20"/>
                <w:szCs w:val="20"/>
              </w:rPr>
            </w:pPr>
            <w:r>
              <w:rPr>
                <w:rFonts w:asciiTheme="minorHAnsi" w:hAnsiTheme="minorHAnsi" w:cstheme="minorHAnsi"/>
                <w:sz w:val="20"/>
                <w:szCs w:val="20"/>
              </w:rPr>
              <w:t xml:space="preserve">Description des méthodes d’investigation des fonctions mentales chez l'Homme par l’étude du comportement et des indices physiologiques périphériques et centraux.</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358F90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75799E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3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D7DC3C5"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CCC364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496138C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1CAEB4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sz w:val="20"/>
                <w:szCs w:val="20"/>
              </w:rPr>
              <w:t xml:space="preserve">L’étudiant devra acquérir des connaissances sur la manière dont les fonctions menta</w:t>
            </w:r>
            <w:r>
              <w:rPr>
                <w:rFonts w:asciiTheme="minorHAnsi" w:hAnsiTheme="minorHAnsi" w:cstheme="minorHAnsi"/>
                <w:sz w:val="20"/>
                <w:szCs w:val="20"/>
              </w:rPr>
              <w:t xml:space="preserve">les élémentaires peuvent être explorées chez l’Homme. Il devra en connaître les applications et les limites. La comparaison des différentes méthodes qui sera effectuée devrait l’aider à développer un certain esprit critique face aux résultats expérimentaux</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0B1C2B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923A84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7FC39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DF7CCA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734E6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Véronique </w:t>
            </w:r>
            <w:r>
              <w:rPr>
                <w:rFonts w:asciiTheme="minorHAnsi" w:hAnsiTheme="minorHAnsi" w:cstheme="minorHAnsi"/>
                <w:color w:val="000000" w:themeColor="text1"/>
                <w:sz w:val="20"/>
                <w:szCs w:val="20"/>
              </w:rPr>
              <w:t xml:space="preserve">Paban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28E38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7AD07A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Marie Montant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988EA0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8764E9" w14:textId="77777777">
            <w:pPr>
              <w:pBdr/>
              <w:spacing/>
              <w:ind/>
              <w:rPr>
                <w:rFonts w:ascii="Calibri" w:hAnsi="Calibri" w:cs="Calibri"/>
                <w:color w:val="000000"/>
                <w:sz w:val="20"/>
                <w:szCs w:val="20"/>
              </w:rPr>
            </w:pPr>
            <w:r>
              <w:rPr>
                <w:rFonts w:ascii="Calibri" w:hAnsi="Calibri" w:cs="Calibri"/>
                <w:color w:val="000000"/>
                <w:sz w:val="20"/>
                <w:szCs w:val="20"/>
              </w:rPr>
              <w:t xml:space="preserve">Vendredi 14h-17h</w:t>
            </w:r>
            <w:r>
              <w:rPr>
                <w:rFonts w:ascii="Calibri" w:hAnsi="Calibri" w:cs="Calibri"/>
                <w:color w:val="000000"/>
                <w:sz w:val="20"/>
                <w:szCs w:val="20"/>
              </w:rPr>
            </w:r>
            <w:r>
              <w:rPr>
                <w:rFonts w:ascii="Calibri" w:hAnsi="Calibri" w:cs="Calibri"/>
                <w:color w:val="000000"/>
                <w:sz w:val="20"/>
                <w:szCs w:val="20"/>
              </w:rPr>
            </w:r>
          </w:p>
          <w:p w14:paraId="6937325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C93068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6DABF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D73BA6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BC28B8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4B31E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C6260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03F0BE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B81A2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sz w:val="20"/>
                <w:szCs w:val="20"/>
              </w:rPr>
              <w:t xml:space="preserve">Neurosciences / Neurosciences Cognitives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1DC45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01E2C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24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479563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EE824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A2DA65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45245C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5AAA73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EDEF52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3E07EC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6CD69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973F2F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03C262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85B100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8825CB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i/>
                <w:sz w:val="20"/>
                <w:szCs w:val="20"/>
              </w:rPr>
              <w:t xml:space="preserve">Contrôle terminal</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FCFAB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2A58CE" w14:textId="6F16BF45">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5"/>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168A58D8" w14:textId="547F0A9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8C7396C" w14:textId="7DF2BEE5">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4924F26" w14:textId="5BF35DAA">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25D1C13" w14:textId="690ACC2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E4710C4" w14:textId="675B212B">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E145307" w14:textId="5CC1F64D">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812E21C" w14:textId="2779027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861900F" w14:textId="01E08C0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E69D18D" w14:textId="5C98C73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C208F21" w14:textId="6239682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F5DC4DC" w14:textId="5B560F3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F920B38" w14:textId="70C52833">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6A429F5" w14:textId="72EA788A">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81F2C7D"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98607AF" w14:textId="65E1A621">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CAF2CDD" w14:textId="0758CAD8">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46A688D" w14:textId="3139F03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544"/>
        <w:gridCol w:w="6094"/>
      </w:tblGrid>
      <w:tr>
        <w:trPr/>
        <w:tc>
          <w:tcPr>
            <w:shd w:val="clear" w:color="auto" w:fill="e6e6e6"/>
            <w:tcBorders>
              <w:top w:val="single" w:color="000000" w:sz="4" w:space="0"/>
              <w:left w:val="single" w:color="000000" w:sz="4" w:space="0"/>
              <w:bottom w:val="single" w:color="000000" w:sz="4" w:space="0"/>
            </w:tcBorders>
            <w:tcW w:w="3544" w:type="dxa"/>
          </w:tcPr>
          <w:p w14:paraId="6C1C3EF9" w14:textId="77777777">
            <w:pPr>
              <w:pBdr/>
              <w:spacing/>
              <w:ind/>
              <w:rPr>
                <w:rFonts w:asciiTheme="minorHAnsi" w:hAnsiTheme="minorHAnsi" w:cstheme="minorHAnsi"/>
                <w:b/>
                <w:color w:val="000000" w:themeColor="text1"/>
                <w:sz w:val="20"/>
                <w:szCs w:val="20"/>
              </w:rPr>
            </w:pPr>
            <w:r/>
            <w:bookmarkStart w:id="6" w:name="_Hlk172194638"/>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12A8CA1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544" w:type="dxa"/>
          </w:tcPr>
          <w:p w14:paraId="3BEC25F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094" w:type="dxa"/>
          </w:tcPr>
          <w:p w14:paraId="6D79A7E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HPS1U35</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49E0155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349F05F7"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Initiation à la sociologie pour psychologues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544" w:type="dxa"/>
          </w:tcPr>
          <w:p w14:paraId="569F7CF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094" w:type="dxa"/>
          </w:tcPr>
          <w:p w14:paraId="3F890B8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Fait social, Action sociale, Autorité, Normes, Classes sociales…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544" w:type="dxa"/>
          </w:tcPr>
          <w:p w14:paraId="4F80207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094" w:type="dxa"/>
          </w:tcPr>
          <w:p w14:paraId="016A92A9"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Histoire et apports des différentes approches théoriques et méthodologiques de la sociologie à travers les apports de sociologues tels que Durkheim, Weber, Elias, Becker et Goffman. On se propose, à travers ce 1</w:t>
            </w:r>
            <w:r>
              <w:rPr>
                <w:rFonts w:asciiTheme="minorHAnsi" w:hAnsiTheme="minorHAnsi" w:cstheme="minorHAnsi"/>
                <w:color w:val="000000" w:themeColor="text1"/>
                <w:sz w:val="20"/>
                <w:szCs w:val="20"/>
                <w:vertAlign w:val="superscript"/>
              </w:rPr>
              <w:t xml:space="preserve">er</w:t>
            </w:r>
            <w:r>
              <w:rPr>
                <w:rFonts w:asciiTheme="minorHAnsi" w:hAnsiTheme="minorHAnsi" w:cstheme="minorHAnsi"/>
                <w:color w:val="000000" w:themeColor="text1"/>
                <w:sz w:val="20"/>
                <w:szCs w:val="20"/>
              </w:rPr>
              <w:t xml:space="preserve"> enseignement, de dresser la généalogie des concepts et cadres de pensée fondateurs de la discipline.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544" w:type="dxa"/>
          </w:tcPr>
          <w:p w14:paraId="6C063B5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094" w:type="dxa"/>
          </w:tcPr>
          <w:p w14:paraId="461EFBC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544" w:type="dxa"/>
          </w:tcPr>
          <w:p w14:paraId="5D219EA0"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6DCF410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544" w:type="dxa"/>
          </w:tcPr>
          <w:p w14:paraId="1B784C8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711CC87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Capacité à maîtriser certains des concepts fondamentaux de la sociologie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78441708" w14:textId="32D3A0EF">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Capacité d</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t xml:space="preserve">analyse, d</w:t>
            </w: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t xml:space="preserve">interprétation et de synthèse de textes sociologiques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673493F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Distance critique vis-à-vis du sens commun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671CCFD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Lecture de données statistiques sous différentes formes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75DF03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Capacité à développer une argumentation utilisant des concepts de la discipline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544" w:type="dxa"/>
          </w:tcPr>
          <w:p w14:paraId="0137868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4A314EF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6CF5F55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32D1416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Sofia Laiz / Aline </w:t>
            </w:r>
            <w:r>
              <w:rPr>
                <w:rFonts w:asciiTheme="minorHAnsi" w:hAnsiTheme="minorHAnsi" w:cstheme="minorHAnsi"/>
                <w:color w:val="000000" w:themeColor="text1"/>
                <w:sz w:val="20"/>
                <w:szCs w:val="20"/>
              </w:rPr>
              <w:t xml:space="preserve">Chamahian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06D5E22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5652727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66544D7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3B7E003D" w14:textId="0BF2BD61">
            <w:pPr>
              <w:pBdr/>
              <w:spacing/>
              <w:ind/>
              <w:rPr>
                <w:rFonts w:ascii="Calibri" w:hAnsi="Calibri" w:cs="Calibri"/>
                <w:color w:val="000000"/>
                <w:sz w:val="20"/>
                <w:szCs w:val="20"/>
              </w:rPr>
            </w:pPr>
            <w:r>
              <w:rPr>
                <w:rFonts w:ascii="Calibri" w:hAnsi="Calibri" w:cs="Calibri"/>
                <w:color w:val="000000"/>
                <w:sz w:val="20"/>
                <w:szCs w:val="20"/>
              </w:rPr>
              <w:t xml:space="preserve">Lundi 9h-12h</w:t>
            </w:r>
            <w:r>
              <w:rPr>
                <w:rFonts w:ascii="Calibri" w:hAnsi="Calibri" w:cs="Calibri"/>
                <w:color w:val="000000"/>
                <w:sz w:val="20"/>
                <w:szCs w:val="20"/>
              </w:rPr>
            </w:r>
            <w:r>
              <w:rPr>
                <w:rFonts w:ascii="Calibri" w:hAnsi="Calibri" w:cs="Calibri"/>
                <w:color w:val="000000"/>
                <w:sz w:val="20"/>
                <w:szCs w:val="20"/>
              </w:rPr>
            </w:r>
          </w:p>
        </w:tc>
      </w:tr>
      <w:tr>
        <w:trPr/>
        <w:tc>
          <w:tcPr>
            <w:shd w:val="clear" w:color="auto" w:fill="auto"/>
            <w:tcBorders>
              <w:top w:val="single" w:color="000000" w:sz="4" w:space="0"/>
              <w:left w:val="single" w:color="000000" w:sz="4" w:space="0"/>
              <w:bottom w:val="single" w:color="000000" w:sz="4" w:space="0"/>
            </w:tcBorders>
            <w:tcW w:w="3544" w:type="dxa"/>
          </w:tcPr>
          <w:p w14:paraId="72B76BA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094" w:type="dxa"/>
          </w:tcPr>
          <w:p w14:paraId="01A972C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Contrôle Terminal</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544" w:type="dxa"/>
          </w:tcPr>
          <w:p w14:paraId="48D833C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29472ED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222A5DD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4E5DDDC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Sociologie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6F19725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3E43F52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36 heures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3C1FBA7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2841BC67" w14:textId="35CF61AE">
            <w:pPr>
              <w:pStyle w:val="1128"/>
              <w:pBdr/>
              <w:spacing/>
              <w:ind/>
              <w:rPr>
                <w:sz w:val="20"/>
                <w:szCs w:val="20"/>
              </w:rPr>
            </w:pPr>
            <w:r>
              <w:rPr>
                <w:sz w:val="20"/>
                <w:szCs w:val="20"/>
              </w:rPr>
              <w:t xml:space="preserve">Bibliographie non-exhaustive – A compléter en cours</w:t>
            </w:r>
            <w:r>
              <w:rPr>
                <w:sz w:val="20"/>
                <w:szCs w:val="20"/>
              </w:rPr>
              <w:t xml:space="preserve"> </w:t>
            </w:r>
            <w:r>
              <w:rPr>
                <w:sz w:val="20"/>
                <w:szCs w:val="20"/>
              </w:rPr>
              <w:t xml:space="preserve">:</w:t>
            </w:r>
            <w:r>
              <w:rPr>
                <w:sz w:val="20"/>
                <w:szCs w:val="20"/>
              </w:rPr>
            </w:r>
            <w:r>
              <w:rPr>
                <w:sz w:val="20"/>
                <w:szCs w:val="20"/>
              </w:rPr>
            </w:r>
          </w:p>
          <w:p w14:paraId="7CE58C56" w14:textId="74949151">
            <w:pPr>
              <w:pStyle w:val="1128"/>
              <w:pBdr/>
              <w:spacing/>
              <w:ind/>
              <w:rPr>
                <w:sz w:val="20"/>
                <w:szCs w:val="20"/>
              </w:rPr>
            </w:pPr>
            <w:r>
              <w:rPr>
                <w:sz w:val="20"/>
                <w:szCs w:val="20"/>
              </w:rPr>
              <w:t xml:space="preserve">- C BAUDELOT et R ESTABLET, Durkheim et le suicide, Paris, Seuil, 2011. </w:t>
            </w:r>
            <w:r>
              <w:rPr>
                <w:sz w:val="20"/>
                <w:szCs w:val="20"/>
              </w:rPr>
              <w:t xml:space="preserve">–</w:t>
            </w:r>
            <w:r>
              <w:rPr>
                <w:sz w:val="20"/>
                <w:szCs w:val="20"/>
              </w:rPr>
              <w:t xml:space="preserve"> C BAUDELOT et R ESTABLET, « Suicide, l’évolution séculaire d’un fait social », Economie et statistique, 1984, 168, pp 59 – 70. </w:t>
            </w:r>
            <w:r>
              <w:rPr>
                <w:sz w:val="20"/>
                <w:szCs w:val="20"/>
              </w:rPr>
              <w:t xml:space="preserve">–</w:t>
            </w:r>
            <w:r>
              <w:rPr>
                <w:sz w:val="20"/>
                <w:szCs w:val="20"/>
              </w:rPr>
              <w:t xml:space="preserve"> C BAUDELOT et R ESTABLE, Maurice Halbwachs. Consommation et société. Paris, PUF, 1994. </w:t>
            </w:r>
            <w:r>
              <w:rPr>
                <w:sz w:val="20"/>
                <w:szCs w:val="20"/>
              </w:rPr>
              <w:t xml:space="preserve">–</w:t>
            </w:r>
            <w:r>
              <w:rPr>
                <w:sz w:val="20"/>
                <w:szCs w:val="20"/>
              </w:rPr>
              <w:t xml:space="preserve"> M WEBER, Le savant et le politique, Paris, La découverte 2003 (1</w:t>
            </w:r>
            <w:r>
              <w:rPr>
                <w:sz w:val="20"/>
                <w:szCs w:val="20"/>
                <w:vertAlign w:val="superscript"/>
              </w:rPr>
              <w:t xml:space="preserve">ère</w:t>
            </w:r>
            <w:r>
              <w:rPr>
                <w:sz w:val="20"/>
                <w:szCs w:val="20"/>
              </w:rPr>
              <w:t xml:space="preserve"> édition en langue allemande 1919). </w:t>
            </w:r>
            <w:r>
              <w:rPr>
                <w:sz w:val="20"/>
                <w:szCs w:val="20"/>
              </w:rPr>
              <w:t xml:space="preserve">–</w:t>
            </w:r>
            <w:r>
              <w:rPr>
                <w:sz w:val="20"/>
                <w:szCs w:val="20"/>
              </w:rPr>
              <w:t xml:space="preserve"> M WEBER, Ethique protestante et esprit du capitalisme. Paris, Gallimard, 2004 (1</w:t>
            </w:r>
            <w:r>
              <w:rPr>
                <w:sz w:val="20"/>
                <w:szCs w:val="20"/>
                <w:vertAlign w:val="superscript"/>
              </w:rPr>
              <w:t xml:space="preserve">ère</w:t>
            </w:r>
            <w:r>
              <w:rPr>
                <w:sz w:val="20"/>
                <w:szCs w:val="20"/>
              </w:rPr>
              <w:t xml:space="preserve"> édition en langue allemande, 1920). </w:t>
            </w:r>
            <w:r>
              <w:rPr>
                <w:sz w:val="20"/>
                <w:szCs w:val="20"/>
              </w:rPr>
              <w:t xml:space="preserve">–</w:t>
            </w:r>
            <w:r>
              <w:rPr>
                <w:sz w:val="20"/>
                <w:szCs w:val="20"/>
              </w:rPr>
              <w:t xml:space="preserve"> N ELIAS. La civilisation des </w:t>
            </w:r>
            <w:r>
              <w:rPr>
                <w:sz w:val="20"/>
                <w:szCs w:val="20"/>
              </w:rPr>
              <w:t xml:space="preserve">mœurs</w:t>
            </w:r>
            <w:r>
              <w:rPr>
                <w:sz w:val="20"/>
                <w:szCs w:val="20"/>
              </w:rPr>
              <w:t xml:space="preserve">. Paris, Plon,1973 (1</w:t>
            </w:r>
            <w:r>
              <w:rPr>
                <w:sz w:val="20"/>
                <w:szCs w:val="20"/>
                <w:vertAlign w:val="superscript"/>
              </w:rPr>
              <w:t xml:space="preserve">ère</w:t>
            </w:r>
            <w:r>
              <w:rPr>
                <w:sz w:val="20"/>
                <w:szCs w:val="20"/>
              </w:rPr>
              <w:t xml:space="preserve"> édition en langue allemande 1939). </w:t>
            </w:r>
            <w:r>
              <w:rPr>
                <w:sz w:val="20"/>
                <w:szCs w:val="20"/>
              </w:rPr>
              <w:t xml:space="preserve">–</w:t>
            </w:r>
            <w:r>
              <w:rPr>
                <w:sz w:val="20"/>
                <w:szCs w:val="20"/>
              </w:rPr>
              <w:t xml:space="preserve"> H BECKER, Outsiders. Etudes de sociologie de la déviance. Paris, Métailié, 1985 (1</w:t>
            </w:r>
            <w:r>
              <w:rPr>
                <w:sz w:val="20"/>
                <w:szCs w:val="20"/>
                <w:vertAlign w:val="superscript"/>
              </w:rPr>
              <w:t xml:space="preserve">ère</w:t>
            </w:r>
            <w:r>
              <w:rPr>
                <w:sz w:val="20"/>
                <w:szCs w:val="20"/>
              </w:rPr>
              <w:t xml:space="preserve"> édition en langue anglaise 1963). </w:t>
            </w:r>
            <w:r>
              <w:rPr>
                <w:sz w:val="20"/>
                <w:szCs w:val="20"/>
              </w:rPr>
              <w:t xml:space="preserve">–</w:t>
            </w:r>
            <w:r>
              <w:rPr>
                <w:sz w:val="20"/>
                <w:szCs w:val="20"/>
              </w:rPr>
              <w:t xml:space="preserve"> E GOFFMAN, Asiles, Etudes sur la condition sociale des malades mentaux. Paris, Minuit, 1968(1</w:t>
            </w:r>
            <w:r>
              <w:rPr>
                <w:sz w:val="20"/>
                <w:szCs w:val="20"/>
                <w:vertAlign w:val="superscript"/>
              </w:rPr>
              <w:t xml:space="preserve">ère</w:t>
            </w:r>
            <w:r>
              <w:rPr>
                <w:sz w:val="20"/>
                <w:szCs w:val="20"/>
              </w:rPr>
              <w:t xml:space="preserve"> édition en langue anglaise 1961). </w:t>
            </w:r>
            <w:r>
              <w:rPr>
                <w:sz w:val="20"/>
                <w:szCs w:val="20"/>
              </w:rPr>
            </w:r>
            <w:r>
              <w:rPr>
                <w:sz w:val="20"/>
                <w:szCs w:val="20"/>
              </w:rPr>
            </w:r>
          </w:p>
        </w:tc>
      </w:tr>
      <w:tr>
        <w:trPr/>
        <w:tc>
          <w:tcPr>
            <w:shd w:val="clear" w:color="auto" w:fill="e6e6e6"/>
            <w:tcBorders>
              <w:top w:val="single" w:color="000000" w:sz="4" w:space="0"/>
              <w:left w:val="single" w:color="000000" w:sz="4" w:space="0"/>
              <w:bottom w:val="single" w:color="000000" w:sz="4" w:space="0"/>
            </w:tcBorders>
            <w:tcW w:w="3544" w:type="dxa"/>
          </w:tcPr>
          <w:p w14:paraId="48CB3E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38344DA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2822D17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5AC9C0A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3A35412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2811064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544" w:type="dxa"/>
          </w:tcPr>
          <w:p w14:paraId="4A2A6B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094" w:type="dxa"/>
          </w:tcPr>
          <w:p w14:paraId="586F21C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44E3CB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720A89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i/>
                <w:color w:val="000000" w:themeColor="text1"/>
                <w:sz w:val="20"/>
                <w:szCs w:val="20"/>
              </w:rPr>
            </w:pPr>
            <w:r>
              <w:rPr>
                <w:rFonts w:asciiTheme="minorHAnsi" w:hAnsiTheme="minorHAnsi" w:cstheme="minorHAnsi"/>
                <w:b/>
                <w:i/>
                <w:color w:val="000000" w:themeColor="text1"/>
                <w:sz w:val="20"/>
                <w:szCs w:val="20"/>
              </w:rPr>
              <w:t xml:space="preserve">Contrôle Terminal</w:t>
            </w:r>
            <w:r>
              <w:rPr>
                <w:rFonts w:asciiTheme="minorHAnsi" w:hAnsiTheme="minorHAnsi" w:cstheme="minorHAnsi"/>
                <w:b/>
                <w:i/>
                <w:color w:val="000000" w:themeColor="text1"/>
                <w:sz w:val="20"/>
                <w:szCs w:val="20"/>
              </w:rPr>
            </w:r>
            <w:r>
              <w:rPr>
                <w:rFonts w:asciiTheme="minorHAnsi" w:hAnsiTheme="minorHAnsi" w:cstheme="minorHAnsi"/>
                <w:b/>
                <w:i/>
                <w:color w:val="000000" w:themeColor="text1"/>
                <w:sz w:val="20"/>
                <w:szCs w:val="20"/>
              </w:rPr>
            </w:r>
          </w:p>
          <w:p w14:paraId="1948623D" w14:textId="12E9BC4F">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bCs/>
                <w:i/>
                <w:color w:val="000000" w:themeColor="text1"/>
                <w:sz w:val="20"/>
                <w:szCs w:val="20"/>
              </w:rPr>
              <w:t xml:space="preserve">1</w:t>
            </w:r>
            <w:r>
              <w:rPr>
                <w:rFonts w:asciiTheme="minorHAnsi" w:hAnsiTheme="minorHAnsi" w:cstheme="minorHAnsi"/>
                <w:bCs/>
                <w:i/>
                <w:color w:val="000000" w:themeColor="text1"/>
                <w:sz w:val="20"/>
                <w:szCs w:val="20"/>
                <w:vertAlign w:val="superscript"/>
              </w:rPr>
              <w:t xml:space="preserve">ère</w:t>
            </w:r>
            <w:r>
              <w:rPr>
                <w:rFonts w:asciiTheme="minorHAnsi" w:hAnsiTheme="minorHAnsi" w:cstheme="minorHAnsi"/>
                <w:bCs/>
                <w:i/>
                <w:color w:val="000000" w:themeColor="text1"/>
                <w:sz w:val="20"/>
                <w:szCs w:val="20"/>
              </w:rPr>
              <w:t xml:space="preserve"> session</w:t>
            </w:r>
            <w:r>
              <w:rPr>
                <w:rFonts w:asciiTheme="minorHAnsi" w:hAnsiTheme="minorHAnsi" w:cstheme="minorHAnsi"/>
                <w:bCs/>
                <w:i/>
                <w:color w:val="000000" w:themeColor="text1"/>
                <w:sz w:val="20"/>
                <w:szCs w:val="20"/>
              </w:rPr>
              <w:t xml:space="preserve"> </w:t>
            </w:r>
            <w:r>
              <w:rPr>
                <w:rFonts w:asciiTheme="minorHAnsi" w:hAnsiTheme="minorHAnsi" w:cstheme="minorHAnsi"/>
                <w:bCs/>
                <w:i/>
                <w:color w:val="000000" w:themeColor="text1"/>
                <w:sz w:val="20"/>
                <w:szCs w:val="20"/>
              </w:rPr>
              <w:t xml:space="preserve">: 1 épreuve écrite de 2h</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p w14:paraId="08ED8712" w14:textId="447708C6">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bCs/>
                <w:i/>
                <w:color w:val="000000" w:themeColor="text1"/>
                <w:sz w:val="20"/>
                <w:szCs w:val="20"/>
              </w:rPr>
              <w:t xml:space="preserve">Régime dérogatoire</w:t>
            </w:r>
            <w:r>
              <w:rPr>
                <w:rFonts w:asciiTheme="minorHAnsi" w:hAnsiTheme="minorHAnsi" w:cstheme="minorHAnsi"/>
                <w:bCs/>
                <w:i/>
                <w:color w:val="000000" w:themeColor="text1"/>
                <w:sz w:val="20"/>
                <w:szCs w:val="20"/>
              </w:rPr>
              <w:t xml:space="preserve"> </w:t>
            </w:r>
            <w:r>
              <w:rPr>
                <w:rFonts w:asciiTheme="minorHAnsi" w:hAnsiTheme="minorHAnsi" w:cstheme="minorHAnsi"/>
                <w:bCs/>
                <w:i/>
                <w:color w:val="000000" w:themeColor="text1"/>
                <w:sz w:val="20"/>
                <w:szCs w:val="20"/>
              </w:rPr>
              <w:t xml:space="preserve">: 1 épreuve écrite de 2h</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p w14:paraId="1B6366E7" w14:textId="62F47908">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Cs/>
                <w:color w:val="000000" w:themeColor="text1"/>
                <w:sz w:val="20"/>
                <w:szCs w:val="20"/>
              </w:rPr>
            </w:pPr>
            <w:r>
              <w:rPr>
                <w:rFonts w:asciiTheme="minorHAnsi" w:hAnsiTheme="minorHAnsi" w:cstheme="minorHAnsi"/>
                <w:bCs/>
                <w:i/>
                <w:color w:val="000000" w:themeColor="text1"/>
                <w:sz w:val="20"/>
                <w:szCs w:val="20"/>
              </w:rPr>
              <w:t xml:space="preserve">2</w:t>
            </w:r>
            <w:r>
              <w:rPr>
                <w:rFonts w:asciiTheme="minorHAnsi" w:hAnsiTheme="minorHAnsi" w:cstheme="minorHAnsi"/>
                <w:bCs/>
                <w:i/>
                <w:color w:val="000000" w:themeColor="text1"/>
                <w:sz w:val="20"/>
                <w:szCs w:val="20"/>
                <w:vertAlign w:val="superscript"/>
              </w:rPr>
              <w:t xml:space="preserve">e</w:t>
            </w:r>
            <w:r>
              <w:rPr>
                <w:rFonts w:asciiTheme="minorHAnsi" w:hAnsiTheme="minorHAnsi" w:cstheme="minorHAnsi"/>
                <w:bCs/>
                <w:i/>
                <w:color w:val="000000" w:themeColor="text1"/>
                <w:sz w:val="20"/>
                <w:szCs w:val="20"/>
              </w:rPr>
              <w:t xml:space="preserve"> session</w:t>
            </w:r>
            <w:r>
              <w:rPr>
                <w:rFonts w:asciiTheme="minorHAnsi" w:hAnsiTheme="minorHAnsi" w:cstheme="minorHAnsi"/>
                <w:bCs/>
                <w:i/>
                <w:color w:val="000000" w:themeColor="text1"/>
                <w:sz w:val="20"/>
                <w:szCs w:val="20"/>
              </w:rPr>
              <w:t xml:space="preserve"> </w:t>
            </w:r>
            <w:r>
              <w:rPr>
                <w:rFonts w:asciiTheme="minorHAnsi" w:hAnsiTheme="minorHAnsi" w:cstheme="minorHAnsi"/>
                <w:bCs/>
                <w:i/>
                <w:color w:val="000000" w:themeColor="text1"/>
                <w:sz w:val="20"/>
                <w:szCs w:val="20"/>
              </w:rPr>
              <w:t xml:space="preserve">: 1 épreuve écrite de 2h</w:t>
            </w:r>
            <w:r>
              <w:rPr>
                <w:rFonts w:asciiTheme="minorHAnsi" w:hAnsiTheme="minorHAnsi" w:cstheme="minorHAnsi"/>
                <w:bCs/>
                <w:iCs/>
                <w:color w:val="000000" w:themeColor="text1"/>
                <w:sz w:val="20"/>
                <w:szCs w:val="20"/>
              </w:rPr>
            </w:r>
            <w:r>
              <w:rPr>
                <w:rFonts w:asciiTheme="minorHAnsi" w:hAnsiTheme="minorHAnsi" w:cstheme="minorHAnsi"/>
                <w:bCs/>
                <w:iCs/>
                <w:color w:val="000000" w:themeColor="text1"/>
                <w:sz w:val="20"/>
                <w:szCs w:val="20"/>
              </w:rPr>
            </w:r>
          </w:p>
        </w:tc>
      </w:tr>
      <w:tr>
        <w:trPr/>
        <w:tc>
          <w:tcPr>
            <w:shd w:val="clear" w:color="auto" w:fill="auto"/>
            <w:tcBorders>
              <w:left w:val="single" w:color="000000" w:sz="4" w:space="0"/>
              <w:bottom w:val="single" w:color="000000" w:sz="4" w:space="0"/>
            </w:tcBorders>
            <w:tcW w:w="3544" w:type="dxa"/>
          </w:tcPr>
          <w:p w14:paraId="003265C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094" w:type="dxa"/>
          </w:tcPr>
          <w:p w14:paraId="2877454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6"/>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16C260A7" w14:textId="4EFA6FA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89B4FDB" w14:textId="57D40CF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D02FAA8"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1012362" w14:textId="77777777">
            <w:pPr>
              <w:pBdr/>
              <w:spacing/>
              <w:ind/>
              <w:rPr>
                <w:rFonts w:asciiTheme="minorHAnsi" w:hAnsiTheme="minorHAnsi" w:cstheme="minorHAnsi"/>
                <w:b/>
                <w:color w:val="000000" w:themeColor="text1"/>
                <w:sz w:val="20"/>
                <w:szCs w:val="20"/>
              </w:rPr>
            </w:pPr>
            <w:r/>
            <w:bookmarkStart w:id="7" w:name="_Hlk172194650"/>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3B7437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3F991E3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70294DE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HPS1U36</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F1E0DF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0A0967"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Philosophie pour psychologues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909457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3BBFE7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Méthode -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9642E6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35639A8"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Cet enseignement vise à fournir aux étudiants de psychologie les notions </w:t>
            </w:r>
            <w:r>
              <w:rPr>
                <w:rFonts w:asciiTheme="minorHAnsi" w:hAnsiTheme="minorHAnsi" w:cstheme="minorHAnsi"/>
                <w:color w:val="000000" w:themeColor="text1"/>
                <w:sz w:val="20"/>
                <w:szCs w:val="20"/>
              </w:rPr>
              <w:t xml:space="preserve">et les méthodes de base de la philosophie et de son histoire, en éclairant les différences entre la psychologie et la philosophie. Il est structuré en trois parties : la méthode philosophique, les grands courants philosophiques, la théorie et la pratique.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A624EE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87A5AB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B7D6088"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3ED1D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1356"/>
        </w:trPr>
        <w:tc>
          <w:tcPr>
            <w:shd w:val="clear" w:color="auto" w:fill="auto"/>
            <w:tcBorders>
              <w:left w:val="single" w:color="000000" w:sz="4" w:space="0"/>
              <w:bottom w:val="single" w:color="000000" w:sz="4" w:space="0"/>
            </w:tcBorders>
            <w:tcW w:w="3402" w:type="dxa"/>
          </w:tcPr>
          <w:p w14:paraId="1C7784A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27A2BA" w14:textId="77777777">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Savoir poser un problème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7B9A80AD" w14:textId="77777777">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Savoir exemplifier un concept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71475525" w14:textId="77777777">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Justifier une opinion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589A66A6" w14:textId="77777777">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Illustrer un argument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3660D209" w14:textId="77777777">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Recontextualiser un texte dans l’histoire de la philosophie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p w14:paraId="647E9C7E" w14:textId="2E59C58C">
            <w:pPr>
              <w:pStyle w:val="956"/>
              <w:numPr>
                <w:ilvl w:val="0"/>
                <w:numId w:val="19"/>
              </w:num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Distinguer la démarche philosophique de celle des autres sciences humaines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FEDA4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D0EAE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3EED0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182C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Christine Lemaitre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504149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95A36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9CDBC0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4B3766B" w14:textId="77777777">
            <w:pPr>
              <w:pBdr/>
              <w:spacing/>
              <w:ind/>
              <w:rPr>
                <w:rFonts w:ascii="Calibri" w:hAnsi="Calibri" w:cs="Calibri"/>
                <w:color w:val="000000"/>
                <w:sz w:val="20"/>
                <w:szCs w:val="20"/>
              </w:rPr>
            </w:pPr>
            <w:r>
              <w:rPr>
                <w:rFonts w:ascii="Calibri" w:hAnsi="Calibri" w:cs="Calibri"/>
                <w:color w:val="000000"/>
                <w:sz w:val="20"/>
                <w:szCs w:val="20"/>
              </w:rPr>
              <w:t xml:space="preserve">Lundi 8h-11h</w:t>
            </w:r>
            <w:r>
              <w:rPr>
                <w:rFonts w:ascii="Calibri" w:hAnsi="Calibri" w:cs="Calibri"/>
                <w:color w:val="000000"/>
                <w:sz w:val="20"/>
                <w:szCs w:val="20"/>
              </w:rPr>
            </w:r>
            <w:r>
              <w:rPr>
                <w:rFonts w:ascii="Calibri" w:hAnsi="Calibri" w:cs="Calibri"/>
                <w:color w:val="000000"/>
                <w:sz w:val="20"/>
                <w:szCs w:val="20"/>
              </w:rPr>
            </w:r>
          </w:p>
          <w:p w14:paraId="13D2B5D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E7C3FA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A1C1C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Cours magistraux / analyse de textes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CC6201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C8E39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D75E3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45AC9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FFD0C9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9D974C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Philosophie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8C14DE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AD788E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36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29CE46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F2658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i/>
                <w:iCs/>
                <w:color w:val="000000" w:themeColor="text1"/>
                <w:sz w:val="20"/>
                <w:szCs w:val="20"/>
              </w:rPr>
              <w:t xml:space="preserve">Manuel d’histoire de la philo</w:t>
            </w:r>
            <w:r>
              <w:rPr>
                <w:rFonts w:asciiTheme="minorHAnsi" w:hAnsiTheme="minorHAnsi" w:cstheme="minorHAnsi"/>
                <w:color w:val="000000" w:themeColor="text1"/>
                <w:sz w:val="20"/>
                <w:szCs w:val="20"/>
              </w:rPr>
              <w:t xml:space="preserve">, éditions Ellipses, août 2024</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422E3A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98496B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77E379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28361D" w14:textId="6A5AF83B">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2D896D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2020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F1DCA8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EFB36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B79F5F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0DE41E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bCs/>
                <w:i/>
                <w:color w:val="000000" w:themeColor="text1"/>
                <w:sz w:val="20"/>
                <w:szCs w:val="20"/>
              </w:rPr>
              <w:t xml:space="preserve">Contrôle continu partiel (contrôle continu 50 % + contrôle final écrit de 3h 50 %)</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00928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0021CCA" w14:textId="6B47618F">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200</w:t>
            </w:r>
            <w:bookmarkEnd w:id="7"/>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143048F7" w14:textId="1B6BEAAC">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6169224" w14:textId="7AF137C1">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12F4EEA9" w14:textId="5974937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84B61A0" w14:textId="2EED25F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AD58131" w14:textId="4BCA0B31">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211C4133" w14:textId="53FE18AB">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56053B7A" w14:textId="7656FA6F">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1D27AD3" w14:textId="02BEA5EE">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66F0548E" w14:textId="2CE8CC29">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9ED0766" w14:textId="7777777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7F43ED22" w14:textId="6BED2F2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0536EA7A" w14:textId="26CDEED0">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454F66A5" w14:textId="1221B3EB">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1FFE808" w14:textId="41755472">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20C6900"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25068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FC2F96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highlight w:val="yellow"/>
              </w:rPr>
            </w:pPr>
            <w:r>
              <w:rPr>
                <w:rFonts w:asciiTheme="minorHAnsi" w:hAnsiTheme="minorHAnsi" w:cstheme="minorHAnsi"/>
                <w:b/>
                <w:color w:val="000000" w:themeColor="text1"/>
                <w:sz w:val="20"/>
                <w:szCs w:val="20"/>
              </w:rPr>
              <w:t xml:space="preserve">Code</w:t>
            </w:r>
            <w:r>
              <w:rPr>
                <w:rFonts w:asciiTheme="minorHAnsi" w:hAnsiTheme="minorHAnsi" w:cstheme="minorHAnsi"/>
                <w:i/>
                <w:color w:val="000000" w:themeColor="text1"/>
                <w:sz w:val="20"/>
                <w:szCs w:val="20"/>
                <w:highlight w:val="yellow"/>
              </w:rPr>
            </w:r>
            <w:r>
              <w:rPr>
                <w:rFonts w:asciiTheme="minorHAnsi" w:hAnsiTheme="minorHAnsi" w:cstheme="min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05E772B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2"/>
                <w:szCs w:val="22"/>
              </w:rPr>
              <w:t xml:space="preserve">HPS1U37</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608B16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Intitulé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68AEB27" w14:textId="77777777">
            <w:pPr>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Anthropologie sociale pour psychologues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C73E6D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Mots-clés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56AB09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Anthropologie sociale, ethnologie, épistémologie, enquête de terrain, restitution, colonisation, domination, altérité</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173A51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Description du contenu de l’enseignement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C91C3B0" w14:textId="77777777">
            <w:pPr>
              <w:pStyle w:val="1129"/>
              <w:pBdr/>
              <w:spacing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Découverte de l’histoire de la discipline </w:t>
            </w:r>
            <w:r>
              <w:rPr>
                <w:rFonts w:asciiTheme="minorHAnsi" w:hAnsiTheme="minorHAnsi" w:cstheme="minorHAnsi"/>
                <w:color w:val="1d2125"/>
                <w:sz w:val="20"/>
                <w:szCs w:val="20"/>
              </w:rPr>
              <w:t xml:space="preserve">(et ses liens avec la colonisation), des courants théoriques et des paradigmes de la pensée, des méthodes et des objets de recherche, des différents champs d'études à travers la présentation de quelques monographies et articles scientifiques de référence. </w:t>
            </w:r>
            <w:r>
              <w:rPr>
                <w:rFonts w:asciiTheme="minorHAnsi" w:hAnsiTheme="minorHAnsi" w:cstheme="minorHAnsi"/>
                <w:color w:val="1d2125"/>
                <w:sz w:val="20"/>
                <w:szCs w:val="20"/>
              </w:rPr>
            </w:r>
            <w:r>
              <w:rPr>
                <w:rFonts w:asciiTheme="minorHAnsi" w:hAnsiTheme="minorHAnsi" w:cstheme="minorHAnsi"/>
                <w:color w:val="1d2125"/>
                <w:sz w:val="20"/>
                <w:szCs w:val="20"/>
              </w:rPr>
            </w:r>
          </w:p>
          <w:p w14:paraId="2F0D30B3" w14:textId="77777777">
            <w:pPr>
              <w:pStyle w:val="1129"/>
              <w:pBdr/>
              <w:spacing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Les thématiques retenues sont choisies afin d'intéresser plus particulièrement les étudiants de psychologie (pa</w:t>
            </w:r>
            <w:r>
              <w:rPr>
                <w:rFonts w:asciiTheme="minorHAnsi" w:hAnsiTheme="minorHAnsi" w:cstheme="minorHAnsi"/>
                <w:color w:val="1d2125"/>
                <w:sz w:val="20"/>
                <w:szCs w:val="20"/>
              </w:rPr>
              <w:t xml:space="preserve">renté, violence, mort, sujet, santé mentale, environnement, altérité et l'ethnocentrisme...). L'objectif est de réfléchir sur ce que l’anthropologie apporte à l’étude des différentes façons de construire une personne, de "faire société" et d'être au monde.</w:t>
            </w:r>
            <w:r>
              <w:rPr>
                <w:rFonts w:asciiTheme="minorHAnsi" w:hAnsiTheme="minorHAnsi" w:cstheme="minorHAnsi"/>
                <w:color w:val="1d2125"/>
                <w:sz w:val="20"/>
                <w:szCs w:val="20"/>
              </w:rPr>
            </w:r>
            <w:r>
              <w:rPr>
                <w:rFonts w:asciiTheme="minorHAnsi" w:hAnsiTheme="minorHAnsi" w:cstheme="minorHAnsi"/>
                <w:color w:val="1d2125"/>
                <w:sz w:val="20"/>
                <w:szCs w:val="20"/>
              </w:rPr>
            </w:r>
          </w:p>
          <w:p w14:paraId="2811FCF3" w14:textId="77777777">
            <w:pPr>
              <w:pStyle w:val="1129"/>
              <w:pBdr/>
              <w:spacing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Tous les cours magistraux seront accompagnés de documents filmiques (documentaires, docu-fictions, fictions réalistes, émissions télévisées, </w:t>
            </w:r>
            <w:r>
              <w:rPr>
                <w:rFonts w:asciiTheme="minorHAnsi" w:hAnsiTheme="minorHAnsi" w:cstheme="minorHAnsi"/>
                <w:color w:val="1d2125"/>
                <w:sz w:val="20"/>
                <w:szCs w:val="20"/>
              </w:rPr>
              <w:t xml:space="preserve">podcasts..</w:t>
            </w:r>
            <w:r>
              <w:rPr>
                <w:rFonts w:asciiTheme="minorHAnsi" w:hAnsiTheme="minorHAnsi" w:cstheme="minorHAnsi"/>
                <w:color w:val="1d2125"/>
                <w:sz w:val="20"/>
                <w:szCs w:val="20"/>
              </w:rPr>
              <w:t xml:space="preserve">). Afin d'organiser le propos, le cours sera divisé en grandes parties focalisées chacune sur une aire culturelle</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u w:val="single"/>
              </w:rPr>
              <w:t xml:space="preserve">(</w:t>
            </w:r>
            <w:r>
              <w:rPr>
                <w:rFonts w:asciiTheme="minorHAnsi" w:hAnsiTheme="minorHAnsi" w:cstheme="minorHAnsi"/>
                <w:color w:val="1d2125"/>
                <w:sz w:val="20"/>
                <w:szCs w:val="20"/>
              </w:rPr>
              <w:t xml:space="preserve">Amérique du Nord, Arctique, Amazonie, Afrique, Asie, Océanie). </w:t>
            </w:r>
            <w:r>
              <w:rPr>
                <w:rFonts w:asciiTheme="minorHAnsi" w:hAnsiTheme="minorHAnsi" w:cstheme="minorHAnsi"/>
                <w:color w:val="1d2125"/>
                <w:sz w:val="20"/>
                <w:szCs w:val="20"/>
              </w:rPr>
            </w:r>
            <w:r>
              <w:rPr>
                <w:rFonts w:asciiTheme="minorHAnsi" w:hAnsiTheme="minorHAnsi" w:cstheme="minorHAnsi"/>
                <w:color w:val="1d2125"/>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9D2E7C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Nombre de crédits</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B11C58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6 ECTS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60C6076" w14:textId="77777777">
            <w:pPr>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3DD5812" w14:textId="77777777">
            <w:pPr>
              <w:pBdr>
                <w:top w:val="none" w:color="000000" w:sz="4" w:space="0"/>
                <w:left w:val="none" w:color="000000" w:sz="4" w:space="0"/>
                <w:bottom w:val="none" w:color="000000" w:sz="4" w:space="0"/>
                <w:right w:val="none" w:color="000000" w:sz="4" w:space="0"/>
                <w:between w:val="none" w:color="000000" w:sz="4" w:space="0"/>
              </w:pBdr>
              <w:spacing/>
              <w:ind/>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rHeight w:val="849"/>
        </w:trPr>
        <w:tc>
          <w:tcPr>
            <w:shd w:val="clear" w:color="auto" w:fill="auto"/>
            <w:tcBorders>
              <w:left w:val="single" w:color="000000" w:sz="4" w:space="0"/>
              <w:bottom w:val="single" w:color="000000" w:sz="4" w:space="0"/>
            </w:tcBorders>
            <w:tcW w:w="3402" w:type="dxa"/>
          </w:tcPr>
          <w:p w14:paraId="3BF4904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Compétences à acquérir</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4F221F" w14:textId="77777777">
            <w:pPr>
              <w:pStyle w:val="1129"/>
              <w:pBdr/>
              <w:spacing w:after="0" w:afterAutospacing="0"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 Maîtriser quelques objets de recherche de l’anthropologie sociale et culturelle et leurs évolutions au cours des XIXème, XXème et XXIème siècles ;</w:t>
            </w:r>
            <w:r>
              <w:rPr>
                <w:rFonts w:asciiTheme="minorHAnsi" w:hAnsiTheme="minorHAnsi" w:cstheme="minorHAnsi"/>
                <w:color w:val="1d2125"/>
                <w:sz w:val="20"/>
                <w:szCs w:val="20"/>
              </w:rPr>
            </w:r>
            <w:r>
              <w:rPr>
                <w:rFonts w:asciiTheme="minorHAnsi" w:hAnsiTheme="minorHAnsi" w:cstheme="minorHAnsi"/>
                <w:color w:val="1d2125"/>
                <w:sz w:val="20"/>
                <w:szCs w:val="20"/>
              </w:rPr>
            </w:r>
          </w:p>
          <w:p w14:paraId="66DCD98C" w14:textId="77777777">
            <w:pPr>
              <w:pStyle w:val="1129"/>
              <w:pBdr/>
              <w:spacing w:after="0" w:afterAutospacing="0"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 Découvrir les méthodes notamment l’enquête de terrain ;</w:t>
            </w:r>
            <w:r>
              <w:rPr>
                <w:rFonts w:asciiTheme="minorHAnsi" w:hAnsiTheme="minorHAnsi" w:cstheme="minorHAnsi"/>
                <w:color w:val="1d2125"/>
                <w:sz w:val="20"/>
                <w:szCs w:val="20"/>
              </w:rPr>
            </w:r>
            <w:r>
              <w:rPr>
                <w:rFonts w:asciiTheme="minorHAnsi" w:hAnsiTheme="minorHAnsi" w:cstheme="minorHAnsi"/>
                <w:color w:val="1d2125"/>
                <w:sz w:val="20"/>
                <w:szCs w:val="20"/>
              </w:rPr>
            </w:r>
          </w:p>
          <w:p w14:paraId="4192CB57" w14:textId="77777777">
            <w:pPr>
              <w:pStyle w:val="1129"/>
              <w:pBdr/>
              <w:spacing w:after="0" w:afterAutospacing="0"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 Se sensibiliser aux croisements disciplinaires entre la psychologie et l'anthropologie à partir de quelques problématiques qui se prêtent à une approche pluridisciplinaire ;</w:t>
            </w:r>
            <w:r>
              <w:rPr>
                <w:rFonts w:asciiTheme="minorHAnsi" w:hAnsiTheme="minorHAnsi" w:cstheme="minorHAnsi"/>
                <w:color w:val="1d2125"/>
                <w:sz w:val="20"/>
                <w:szCs w:val="20"/>
              </w:rPr>
            </w:r>
            <w:r>
              <w:rPr>
                <w:rFonts w:asciiTheme="minorHAnsi" w:hAnsiTheme="minorHAnsi" w:cstheme="minorHAnsi"/>
                <w:color w:val="1d2125"/>
                <w:sz w:val="20"/>
                <w:szCs w:val="20"/>
              </w:rPr>
            </w:r>
          </w:p>
          <w:p w14:paraId="378FAFA2" w14:textId="77777777">
            <w:pPr>
              <w:pStyle w:val="1129"/>
              <w:pBdr/>
              <w:spacing w:after="0" w:afterAutospacing="0"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 Se sensibiliser aux différents supports utilisés dans la restitution des analyses et des données de terrain : ouvrages et articles scientifiques ; écriture type "bandes-dessinées" ; documents audiovisuels de type documentaire ou docufiction ;</w:t>
            </w:r>
            <w:r>
              <w:rPr>
                <w:rFonts w:asciiTheme="minorHAnsi" w:hAnsiTheme="minorHAnsi" w:cstheme="minorHAnsi"/>
                <w:color w:val="1d2125"/>
                <w:sz w:val="20"/>
                <w:szCs w:val="20"/>
              </w:rPr>
            </w:r>
            <w:r>
              <w:rPr>
                <w:rFonts w:asciiTheme="minorHAnsi" w:hAnsiTheme="minorHAnsi" w:cstheme="minorHAnsi"/>
                <w:color w:val="1d2125"/>
                <w:sz w:val="20"/>
                <w:szCs w:val="20"/>
              </w:rPr>
            </w:r>
          </w:p>
          <w:p w14:paraId="1E51AA54" w14:textId="77777777">
            <w:pPr>
              <w:pStyle w:val="1129"/>
              <w:pBdr/>
              <w:spacing w:after="0" w:afterAutospacing="0" w:before="0" w:beforeAutospacing="0"/>
              <w:ind/>
              <w:jc w:val="both"/>
              <w:rPr>
                <w:rFonts w:asciiTheme="minorHAnsi" w:hAnsiTheme="minorHAnsi" w:cstheme="minorHAnsi"/>
                <w:color w:val="1d2125"/>
                <w:sz w:val="20"/>
                <w:szCs w:val="20"/>
              </w:rPr>
            </w:pPr>
            <w:r>
              <w:rPr>
                <w:rFonts w:asciiTheme="minorHAnsi" w:hAnsiTheme="minorHAnsi" w:cstheme="minorHAnsi"/>
                <w:color w:val="1d2125"/>
                <w:sz w:val="20"/>
                <w:szCs w:val="20"/>
              </w:rPr>
              <w:t xml:space="preserve">- Apprendre à porter un regard réflexif sur les sciences sociales comme production politique (dans lesquelles la compréhension humaniste de l'altérité culturelle et de la notion de personne est liée au contexte politique qui en est à </w:t>
            </w:r>
            <w:r>
              <w:rPr>
                <w:rFonts w:asciiTheme="minorHAnsi" w:hAnsiTheme="minorHAnsi" w:cstheme="minorHAnsi"/>
                <w:color w:val="1d2125"/>
                <w:sz w:val="20"/>
                <w:szCs w:val="20"/>
              </w:rPr>
              <w:t xml:space="preserve">l'origine)...</w:t>
            </w:r>
            <w:r>
              <w:rPr>
                <w:rFonts w:asciiTheme="minorHAnsi" w:hAnsiTheme="minorHAnsi" w:cstheme="minorHAnsi"/>
                <w:color w:val="1d2125"/>
                <w:sz w:val="20"/>
                <w:szCs w:val="20"/>
              </w:rPr>
            </w:r>
            <w:r>
              <w:rPr>
                <w:rFonts w:asciiTheme="minorHAnsi" w:hAnsiTheme="minorHAnsi" w:cstheme="minorHAnsi"/>
                <w:color w:val="1d2125"/>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3519B8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CC7DCB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854A0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Responsable / Contact</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A0913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Valérie </w:t>
            </w:r>
            <w:r>
              <w:rPr>
                <w:rFonts w:asciiTheme="minorHAnsi" w:hAnsiTheme="minorHAnsi" w:cstheme="minorHAnsi"/>
                <w:color w:val="000000" w:themeColor="text1"/>
                <w:sz w:val="20"/>
                <w:szCs w:val="20"/>
              </w:rPr>
              <w:t xml:space="preserve">Feschet</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136EA0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Intervenants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2BC52A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549CA2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d’organisation et de suivi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ADCCA47" w14:textId="77777777">
            <w:pPr>
              <w:pBdr/>
              <w:spacing/>
              <w:ind/>
              <w:rPr>
                <w:rFonts w:asciiTheme="minorHAnsi" w:hAnsiTheme="minorHAnsi" w:cstheme="minorHAnsi"/>
                <w:color w:val="000000"/>
                <w:sz w:val="20"/>
                <w:szCs w:val="20"/>
              </w:rPr>
            </w:pPr>
            <w:r>
              <w:rPr>
                <w:rFonts w:asciiTheme="minorHAnsi" w:hAnsiTheme="minorHAnsi" w:cstheme="minorHAnsi"/>
                <w:color w:val="000000"/>
                <w:sz w:val="20"/>
                <w:szCs w:val="20"/>
              </w:rPr>
              <w:t xml:space="preserve">Lundi 8h-12h</w:t>
            </w:r>
            <w:r>
              <w:rPr>
                <w:rFonts w:asciiTheme="minorHAnsi" w:hAnsiTheme="minorHAnsi" w:cstheme="minorHAnsi"/>
                <w:color w:val="000000"/>
                <w:sz w:val="20"/>
                <w:szCs w:val="20"/>
              </w:rPr>
            </w:r>
            <w:r>
              <w:rPr>
                <w:rFonts w:asciiTheme="minorHAnsi" w:hAnsiTheme="minorHAnsi" w:cstheme="minorHAnsi"/>
                <w:color w:val="000000"/>
                <w:sz w:val="20"/>
                <w:szCs w:val="20"/>
              </w:rPr>
            </w:r>
          </w:p>
          <w:p w14:paraId="7348E1BA" w14:textId="2A9E529A">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w:t>
            </w:r>
            <w:r>
              <w:rPr>
                <w:rFonts w:asciiTheme="minorHAnsi" w:hAnsiTheme="minorHAnsi" w:cstheme="minorHAnsi"/>
                <w:color w:val="000000" w:themeColor="text1"/>
                <w:sz w:val="20"/>
                <w:szCs w:val="20"/>
              </w:rPr>
              <w:t xml:space="preserve">Sous</w:t>
            </w:r>
            <w:r>
              <w:rPr>
                <w:rFonts w:asciiTheme="minorHAnsi" w:hAnsiTheme="minorHAnsi" w:cstheme="minorHAnsi"/>
                <w:color w:val="000000" w:themeColor="text1"/>
                <w:sz w:val="20"/>
                <w:szCs w:val="20"/>
              </w:rPr>
              <w:t xml:space="preserve"> réserve de compatibilité avec emploi-du-temps principal).</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AB8522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Modalités pédagogiques </w:t>
            </w:r>
            <w:r>
              <w:rPr>
                <w:rFonts w:asciiTheme="minorHAnsi" w:hAnsiTheme="minorHAnsi" w:cstheme="minorHAnsi"/>
                <w:i/>
                <w:color w:val="000000" w:themeColor="text1"/>
                <w:sz w:val="20"/>
                <w:szCs w:val="20"/>
              </w:rPr>
              <w:t xml:space="preserve">  </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C34AF2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CCI</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FF1E7C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E55322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934BC1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Langue principale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7212DA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Français</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4D22A0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Discipline</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A2491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Anthropologie sociale et culturelle</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F34F9A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Volume horaire global (par étudiant)</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59F94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36 CM</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D497A8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b/>
                <w:color w:val="000000" w:themeColor="text1"/>
                <w:sz w:val="20"/>
                <w:szCs w:val="20"/>
              </w:rPr>
              <w:t xml:space="preserve">Bibliographie, lectures recommandées</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6EECD88"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Evans-Pritchard, E.E., </w:t>
            </w:r>
            <w:r>
              <w:rPr>
                <w:rFonts w:asciiTheme="minorHAnsi" w:hAnsiTheme="minorHAnsi" w:cstheme="minorHAnsi"/>
                <w:i/>
                <w:iCs/>
                <w:color w:val="1d2125"/>
                <w:sz w:val="20"/>
                <w:szCs w:val="20"/>
              </w:rPr>
              <w:t xml:space="preserve">Les Nuer,</w:t>
            </w:r>
            <w:r>
              <w:rPr>
                <w:rFonts w:asciiTheme="minorHAnsi" w:hAnsiTheme="minorHAnsi" w:cstheme="minorHAnsi"/>
                <w:color w:val="1d2125"/>
                <w:sz w:val="20"/>
                <w:szCs w:val="20"/>
              </w:rPr>
              <w:t xml:space="preserve"> Paris, Gallimard, 1968 pour l'édition française, [1937]</w:t>
            </w:r>
            <w:r>
              <w:rPr>
                <w:rFonts w:asciiTheme="minorHAnsi" w:hAnsiTheme="minorHAnsi" w:cstheme="minorHAnsi"/>
                <w:color w:val="1d2125"/>
                <w:sz w:val="20"/>
                <w:szCs w:val="20"/>
              </w:rPr>
            </w:r>
            <w:r>
              <w:rPr>
                <w:rFonts w:asciiTheme="minorHAnsi" w:hAnsiTheme="minorHAnsi" w:cstheme="minorHAnsi"/>
                <w:color w:val="1d2125"/>
                <w:sz w:val="20"/>
                <w:szCs w:val="20"/>
              </w:rPr>
            </w:r>
          </w:p>
          <w:p w14:paraId="724FCC98"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Favret-Saada Jeanne, </w:t>
            </w:r>
            <w:r>
              <w:rPr>
                <w:rFonts w:asciiTheme="minorHAnsi" w:hAnsiTheme="minorHAnsi" w:cstheme="minorHAnsi"/>
                <w:i/>
                <w:iCs/>
                <w:color w:val="1d2125"/>
                <w:sz w:val="20"/>
                <w:szCs w:val="20"/>
              </w:rPr>
              <w:t xml:space="preserve">Les mots, la mort, les sorts,</w:t>
            </w:r>
            <w:r>
              <w:rPr>
                <w:rFonts w:asciiTheme="minorHAnsi" w:hAnsiTheme="minorHAnsi" w:cstheme="minorHAnsi"/>
                <w:color w:val="1d2125"/>
                <w:sz w:val="20"/>
                <w:szCs w:val="20"/>
              </w:rPr>
              <w:t xml:space="preserve"> Paris, Éditions Gallimard, 1977</w:t>
            </w:r>
            <w:r>
              <w:rPr>
                <w:rFonts w:asciiTheme="minorHAnsi" w:hAnsiTheme="minorHAnsi" w:cstheme="minorHAnsi"/>
                <w:color w:val="1d2125"/>
                <w:sz w:val="20"/>
                <w:szCs w:val="20"/>
              </w:rPr>
            </w:r>
            <w:r>
              <w:rPr>
                <w:rFonts w:asciiTheme="minorHAnsi" w:hAnsiTheme="minorHAnsi" w:cstheme="minorHAnsi"/>
                <w:color w:val="1d2125"/>
                <w:sz w:val="20"/>
                <w:szCs w:val="20"/>
              </w:rPr>
            </w:r>
          </w:p>
          <w:p w14:paraId="7A68DC86"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Godelier, Maurice, </w:t>
            </w:r>
            <w:r>
              <w:rPr>
                <w:rStyle w:val="1131"/>
                <w:rFonts w:eastAsia="Arial" w:asciiTheme="minorHAnsi" w:hAnsiTheme="minorHAnsi" w:cstheme="minorHAnsi"/>
                <w:color w:val="1d2125"/>
                <w:sz w:val="20"/>
                <w:szCs w:val="20"/>
              </w:rPr>
              <w:t xml:space="preserve">Au fondement des sociétés humaines. Ce que nous apprend l'anthropologie</w:t>
            </w:r>
            <w:r>
              <w:rPr>
                <w:rFonts w:asciiTheme="minorHAnsi" w:hAnsiTheme="minorHAnsi" w:cstheme="minorHAnsi"/>
                <w:color w:val="1d2125"/>
                <w:sz w:val="20"/>
                <w:szCs w:val="20"/>
              </w:rPr>
              <w:t xml:space="preserve">, Paris, Albin Michel, 2007</w:t>
            </w:r>
            <w:r>
              <w:rPr>
                <w:rFonts w:asciiTheme="minorHAnsi" w:hAnsiTheme="minorHAnsi" w:cstheme="minorHAnsi"/>
                <w:color w:val="1d2125"/>
                <w:sz w:val="20"/>
                <w:szCs w:val="20"/>
              </w:rPr>
            </w:r>
            <w:r>
              <w:rPr>
                <w:rFonts w:asciiTheme="minorHAnsi" w:hAnsiTheme="minorHAnsi" w:cstheme="minorHAnsi"/>
                <w:color w:val="1d2125"/>
                <w:sz w:val="20"/>
                <w:szCs w:val="20"/>
              </w:rPr>
            </w:r>
          </w:p>
          <w:p w14:paraId="23E103E2"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Godelier, Maurice, </w:t>
            </w:r>
            <w:r>
              <w:rPr>
                <w:rStyle w:val="1131"/>
                <w:rFonts w:eastAsia="Arial" w:asciiTheme="minorHAnsi" w:hAnsiTheme="minorHAnsi" w:cstheme="minorHAnsi"/>
                <w:color w:val="1d2125"/>
                <w:sz w:val="20"/>
                <w:szCs w:val="20"/>
              </w:rPr>
              <w:t xml:space="preserve">Métamorphoses de la parenté,</w:t>
            </w:r>
            <w:r>
              <w:rPr>
                <w:rFonts w:asciiTheme="minorHAnsi" w:hAnsiTheme="minorHAnsi" w:cstheme="minorHAnsi"/>
                <w:color w:val="1d2125"/>
                <w:sz w:val="20"/>
                <w:szCs w:val="20"/>
              </w:rPr>
              <w:t xml:space="preserve"> Paris, Fayard, 2004</w:t>
            </w:r>
            <w:r>
              <w:rPr>
                <w:rFonts w:asciiTheme="minorHAnsi" w:hAnsiTheme="minorHAnsi" w:cstheme="minorHAnsi"/>
                <w:color w:val="1d2125"/>
                <w:sz w:val="20"/>
                <w:szCs w:val="20"/>
              </w:rPr>
            </w:r>
            <w:r>
              <w:rPr>
                <w:rFonts w:asciiTheme="minorHAnsi" w:hAnsiTheme="minorHAnsi" w:cstheme="minorHAnsi"/>
                <w:color w:val="1d2125"/>
                <w:sz w:val="20"/>
                <w:szCs w:val="20"/>
              </w:rPr>
            </w:r>
          </w:p>
          <w:p w14:paraId="0A5EAAAE"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Hua, </w:t>
            </w:r>
            <w:r>
              <w:rPr>
                <w:rFonts w:asciiTheme="minorHAnsi" w:hAnsiTheme="minorHAnsi" w:cstheme="minorHAnsi"/>
                <w:color w:val="1d2125"/>
                <w:sz w:val="20"/>
                <w:szCs w:val="20"/>
              </w:rPr>
              <w:t xml:space="preserve">Caï</w:t>
            </w:r>
            <w:r>
              <w:rPr>
                <w:rFonts w:asciiTheme="minorHAnsi" w:hAnsiTheme="minorHAnsi" w:cstheme="minorHAnsi"/>
                <w:color w:val="1d2125"/>
                <w:sz w:val="20"/>
                <w:szCs w:val="20"/>
              </w:rPr>
              <w:t xml:space="preserve">, </w:t>
            </w:r>
            <w:r>
              <w:rPr>
                <w:rStyle w:val="1131"/>
                <w:rFonts w:eastAsia="Arial" w:asciiTheme="minorHAnsi" w:hAnsiTheme="minorHAnsi" w:cstheme="minorHAnsi"/>
                <w:color w:val="1d2125"/>
                <w:sz w:val="20"/>
                <w:szCs w:val="20"/>
              </w:rPr>
              <w:t xml:space="preserve">Une société sans père ni mari, </w:t>
            </w:r>
            <w:r>
              <w:rPr>
                <w:rFonts w:asciiTheme="minorHAnsi" w:hAnsiTheme="minorHAnsi" w:cstheme="minorHAnsi"/>
                <w:color w:val="1d2125"/>
                <w:sz w:val="20"/>
                <w:szCs w:val="20"/>
              </w:rPr>
              <w:t xml:space="preserve">Paris, Presse Universitaire de France, 1997</w:t>
            </w:r>
            <w:r>
              <w:rPr>
                <w:rFonts w:asciiTheme="minorHAnsi" w:hAnsiTheme="minorHAnsi" w:cstheme="minorHAnsi"/>
                <w:color w:val="1d2125"/>
                <w:sz w:val="20"/>
                <w:szCs w:val="20"/>
              </w:rPr>
            </w:r>
            <w:r>
              <w:rPr>
                <w:rFonts w:asciiTheme="minorHAnsi" w:hAnsiTheme="minorHAnsi" w:cstheme="minorHAnsi"/>
                <w:color w:val="1d2125"/>
                <w:sz w:val="20"/>
                <w:szCs w:val="20"/>
              </w:rPr>
            </w:r>
          </w:p>
          <w:p w14:paraId="6CC683D0" w14:textId="77777777">
            <w:pPr>
              <w:pStyle w:val="1129"/>
              <w:pBdr/>
              <w:spacing w:after="0" w:afterAutospacing="0" w:before="120" w:beforeAutospacing="0"/>
              <w:ind/>
              <w:rPr>
                <w:rFonts w:asciiTheme="minorHAnsi" w:hAnsiTheme="minorHAnsi" w:cstheme="minorHAnsi"/>
                <w:color w:val="1d2125"/>
                <w:sz w:val="20"/>
                <w:szCs w:val="20"/>
                <w:shd w:val="clear" w:color="auto" w:fill="ffffff"/>
              </w:rPr>
            </w:pPr>
            <w:r>
              <w:rPr>
                <w:rFonts w:asciiTheme="minorHAnsi" w:hAnsiTheme="minorHAnsi" w:cstheme="minorHAnsi"/>
                <w:color w:val="1d2125"/>
                <w:sz w:val="20"/>
                <w:szCs w:val="20"/>
                <w:shd w:val="clear" w:color="auto" w:fill="ffffff"/>
              </w:rPr>
              <w:t xml:space="preserve">- Kroeber, Théodora,</w:t>
            </w:r>
            <w:r>
              <w:rPr>
                <w:rStyle w:val="1131"/>
                <w:rFonts w:eastAsia="Arial" w:asciiTheme="minorHAnsi" w:hAnsiTheme="minorHAnsi" w:cstheme="minorHAnsi"/>
                <w:color w:val="1d2125"/>
                <w:sz w:val="20"/>
                <w:szCs w:val="20"/>
              </w:rPr>
              <w:t xml:space="preserve"> </w:t>
            </w:r>
            <w:r>
              <w:rPr>
                <w:rStyle w:val="1131"/>
                <w:rFonts w:eastAsia="Arial" w:asciiTheme="minorHAnsi" w:hAnsiTheme="minorHAnsi" w:cstheme="minorHAnsi"/>
                <w:color w:val="1d2125"/>
                <w:sz w:val="20"/>
                <w:szCs w:val="20"/>
              </w:rPr>
              <w:t xml:space="preserve">Ishi</w:t>
            </w:r>
            <w:r>
              <w:rPr>
                <w:rStyle w:val="1131"/>
                <w:rFonts w:eastAsia="Arial" w:asciiTheme="minorHAnsi" w:hAnsiTheme="minorHAnsi" w:cstheme="minorHAnsi"/>
                <w:color w:val="1d2125"/>
                <w:sz w:val="20"/>
                <w:szCs w:val="20"/>
              </w:rPr>
              <w:t xml:space="preserve">,</w:t>
            </w:r>
            <w:r>
              <w:rPr>
                <w:rFonts w:asciiTheme="minorHAnsi" w:hAnsiTheme="minorHAnsi" w:cstheme="minorHAnsi"/>
                <w:color w:val="1d2125"/>
                <w:sz w:val="20"/>
                <w:szCs w:val="20"/>
                <w:shd w:val="clear" w:color="auto" w:fill="ffffff"/>
              </w:rPr>
              <w:t xml:space="preserve"> Paris, Plon, collection Terre Humaine, 1968 pour la traduction française, [1961]</w:t>
            </w:r>
            <w:r>
              <w:rPr>
                <w:rFonts w:asciiTheme="minorHAnsi" w:hAnsiTheme="minorHAnsi" w:cstheme="minorHAnsi"/>
                <w:color w:val="1d2125"/>
                <w:sz w:val="20"/>
                <w:szCs w:val="20"/>
                <w:shd w:val="clear" w:color="auto" w:fill="ffffff"/>
              </w:rPr>
            </w:r>
            <w:r>
              <w:rPr>
                <w:rFonts w:asciiTheme="minorHAnsi" w:hAnsiTheme="minorHAnsi" w:cstheme="minorHAnsi"/>
                <w:color w:val="1d2125"/>
                <w:sz w:val="20"/>
                <w:szCs w:val="20"/>
                <w:shd w:val="clear" w:color="auto" w:fill="ffffff"/>
              </w:rPr>
            </w:r>
          </w:p>
          <w:p w14:paraId="16BBC205" w14:textId="77777777">
            <w:pPr>
              <w:pStyle w:val="1129"/>
              <w:pBdr/>
              <w:spacing w:after="0" w:afterAutospacing="0" w:before="120" w:beforeAutospacing="0"/>
              <w:ind/>
              <w:rPr>
                <w:rFonts w:asciiTheme="minorHAnsi" w:hAnsiTheme="minorHAnsi" w:cstheme="minorHAnsi"/>
                <w:color w:val="1d2125"/>
                <w:sz w:val="20"/>
                <w:szCs w:val="20"/>
                <w:shd w:val="clear" w:color="auto" w:fill="ffffff"/>
              </w:rPr>
            </w:pPr>
            <w:r>
              <w:rPr>
                <w:rFonts w:asciiTheme="minorHAnsi" w:hAnsiTheme="minorHAnsi" w:cstheme="minorHAnsi"/>
                <w:color w:val="1d2125"/>
                <w:sz w:val="20"/>
                <w:szCs w:val="20"/>
                <w:shd w:val="clear" w:color="auto" w:fill="ffffff"/>
              </w:rPr>
              <w:t xml:space="preserve">- Leiris, Michel, </w:t>
            </w:r>
            <w:r>
              <w:rPr>
                <w:rStyle w:val="1131"/>
                <w:rFonts w:eastAsia="Arial" w:asciiTheme="minorHAnsi" w:hAnsiTheme="minorHAnsi" w:cstheme="minorHAnsi"/>
                <w:color w:val="1d2125"/>
                <w:sz w:val="20"/>
                <w:szCs w:val="20"/>
              </w:rPr>
              <w:t xml:space="preserve">Miroir de l'Afriqu</w:t>
            </w:r>
            <w:r>
              <w:rPr>
                <w:rFonts w:asciiTheme="minorHAnsi" w:hAnsiTheme="minorHAnsi" w:cstheme="minorHAnsi"/>
                <w:color w:val="1d2125"/>
                <w:sz w:val="20"/>
                <w:szCs w:val="20"/>
                <w:shd w:val="clear" w:color="auto" w:fill="ffffff"/>
              </w:rPr>
              <w:t xml:space="preserve">e, Paris, </w:t>
            </w:r>
            <w:r>
              <w:rPr>
                <w:rFonts w:asciiTheme="minorHAnsi" w:hAnsiTheme="minorHAnsi" w:cstheme="minorHAnsi"/>
                <w:color w:val="1d2125"/>
                <w:sz w:val="20"/>
                <w:szCs w:val="20"/>
                <w:shd w:val="clear" w:color="auto" w:fill="ffffff"/>
              </w:rPr>
              <w:t xml:space="preserve">Quatro</w:t>
            </w:r>
            <w:r>
              <w:rPr>
                <w:rFonts w:asciiTheme="minorHAnsi" w:hAnsiTheme="minorHAnsi" w:cstheme="minorHAnsi"/>
                <w:color w:val="1d2125"/>
                <w:sz w:val="20"/>
                <w:szCs w:val="20"/>
                <w:shd w:val="clear" w:color="auto" w:fill="ffffff"/>
              </w:rPr>
              <w:t xml:space="preserve"> Gallimard, 1996 (réunion des textes fondamentaux de Michel Leiris, dont "Afrique fantôme", publié en 1934)</w:t>
            </w:r>
            <w:r>
              <w:rPr>
                <w:rFonts w:asciiTheme="minorHAnsi" w:hAnsiTheme="minorHAnsi" w:cstheme="minorHAnsi"/>
                <w:color w:val="1d2125"/>
                <w:sz w:val="20"/>
                <w:szCs w:val="20"/>
                <w:shd w:val="clear" w:color="auto" w:fill="ffffff"/>
              </w:rPr>
            </w:r>
            <w:r>
              <w:rPr>
                <w:rFonts w:asciiTheme="minorHAnsi" w:hAnsiTheme="minorHAnsi" w:cstheme="minorHAnsi"/>
                <w:color w:val="1d2125"/>
                <w:sz w:val="20"/>
                <w:szCs w:val="20"/>
                <w:shd w:val="clear" w:color="auto" w:fill="ffffff"/>
              </w:rPr>
            </w:r>
          </w:p>
          <w:p w14:paraId="3C0EEC3E"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shd w:val="clear" w:color="auto" w:fill="ffffff"/>
              </w:rPr>
              <w:t xml:space="preserve">- Malaurie, Jean,</w:t>
            </w:r>
            <w:r>
              <w:rPr>
                <w:rStyle w:val="1131"/>
                <w:rFonts w:eastAsia="Arial" w:asciiTheme="minorHAnsi" w:hAnsiTheme="minorHAnsi" w:cstheme="minorHAnsi"/>
                <w:color w:val="1d2125"/>
                <w:sz w:val="20"/>
                <w:szCs w:val="20"/>
              </w:rPr>
              <w:t xml:space="preserve"> Les derniers rois de Thulé,</w:t>
            </w:r>
            <w:r>
              <w:rPr>
                <w:rFonts w:asciiTheme="minorHAnsi" w:hAnsiTheme="minorHAnsi" w:cstheme="minorHAnsi"/>
                <w:color w:val="1d2125"/>
                <w:sz w:val="20"/>
                <w:szCs w:val="20"/>
                <w:shd w:val="clear" w:color="auto" w:fill="ffffff"/>
              </w:rPr>
              <w:t xml:space="preserve"> Paris, Plon, collection Terre Humaine, 1976</w:t>
            </w:r>
            <w:r>
              <w:rPr>
                <w:rFonts w:asciiTheme="minorHAnsi" w:hAnsiTheme="minorHAnsi" w:cstheme="minorHAnsi"/>
                <w:color w:val="1d2125"/>
                <w:sz w:val="20"/>
                <w:szCs w:val="20"/>
              </w:rPr>
            </w:r>
            <w:r>
              <w:rPr>
                <w:rFonts w:asciiTheme="minorHAnsi" w:hAnsiTheme="minorHAnsi" w:cstheme="minorHAnsi"/>
                <w:color w:val="1d2125"/>
                <w:sz w:val="20"/>
                <w:szCs w:val="20"/>
              </w:rPr>
            </w:r>
          </w:p>
          <w:p w14:paraId="2389E9BB"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Malinowski,</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Bronislaw, </w:t>
            </w:r>
            <w:r>
              <w:rPr>
                <w:rStyle w:val="1131"/>
                <w:rFonts w:eastAsia="Arial" w:asciiTheme="minorHAnsi" w:hAnsiTheme="minorHAnsi" w:cstheme="minorHAnsi"/>
                <w:color w:val="1d2125"/>
                <w:sz w:val="20"/>
                <w:szCs w:val="20"/>
              </w:rPr>
              <w:t xml:space="preserve">Les Argonautes du Pacifique occidental,</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Paris, Editions Gallimard, traduction française 1963, [1922].</w:t>
            </w:r>
            <w:r>
              <w:rPr>
                <w:rFonts w:asciiTheme="minorHAnsi" w:hAnsiTheme="minorHAnsi" w:cstheme="minorHAnsi"/>
                <w:color w:val="1d2125"/>
                <w:sz w:val="20"/>
                <w:szCs w:val="20"/>
              </w:rPr>
            </w:r>
            <w:r>
              <w:rPr>
                <w:rFonts w:asciiTheme="minorHAnsi" w:hAnsiTheme="minorHAnsi" w:cstheme="minorHAnsi"/>
                <w:color w:val="1d2125"/>
                <w:sz w:val="20"/>
                <w:szCs w:val="20"/>
              </w:rPr>
            </w:r>
          </w:p>
          <w:p w14:paraId="7CD8714A"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Mead,</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Margaret, </w:t>
            </w:r>
            <w:r>
              <w:rPr>
                <w:rStyle w:val="1131"/>
                <w:rFonts w:eastAsia="Arial" w:asciiTheme="minorHAnsi" w:hAnsiTheme="minorHAnsi" w:cstheme="minorHAnsi"/>
                <w:color w:val="1d2125"/>
                <w:sz w:val="20"/>
                <w:szCs w:val="20"/>
              </w:rPr>
              <w:t xml:space="preserve">Moeurs</w:t>
            </w:r>
            <w:r>
              <w:rPr>
                <w:rStyle w:val="1131"/>
                <w:rFonts w:eastAsia="Arial" w:asciiTheme="minorHAnsi" w:hAnsiTheme="minorHAnsi" w:cstheme="minorHAnsi"/>
                <w:color w:val="1d2125"/>
                <w:sz w:val="20"/>
                <w:szCs w:val="20"/>
              </w:rPr>
              <w:t xml:space="preserve"> et sexualité en Océanie, </w:t>
            </w:r>
            <w:r>
              <w:rPr>
                <w:rFonts w:asciiTheme="minorHAnsi" w:hAnsiTheme="minorHAnsi" w:cstheme="minorHAnsi"/>
                <w:color w:val="1d2125"/>
                <w:sz w:val="20"/>
                <w:szCs w:val="20"/>
              </w:rPr>
              <w:t xml:space="preserve">Paris, Plon, collection Terre Humaine, 1963</w:t>
            </w:r>
            <w:r>
              <w:rPr>
                <w:rFonts w:asciiTheme="minorHAnsi" w:hAnsiTheme="minorHAnsi" w:cstheme="minorHAnsi"/>
                <w:color w:val="1d2125"/>
                <w:sz w:val="20"/>
                <w:szCs w:val="20"/>
              </w:rPr>
            </w:r>
            <w:r>
              <w:rPr>
                <w:rFonts w:asciiTheme="minorHAnsi" w:hAnsiTheme="minorHAnsi" w:cstheme="minorHAnsi"/>
                <w:color w:val="1d2125"/>
                <w:sz w:val="20"/>
                <w:szCs w:val="20"/>
              </w:rPr>
            </w:r>
          </w:p>
          <w:p w14:paraId="167F133B" w14:textId="77777777">
            <w:pPr>
              <w:pStyle w:val="1129"/>
              <w:pBdr/>
              <w:spacing w:after="0" w:afterAutospacing="0" w:before="120" w:beforeAutospacing="0"/>
              <w:ind/>
              <w:rPr>
                <w:rFonts w:asciiTheme="minorHAnsi" w:hAnsiTheme="minorHAnsi" w:cstheme="minorHAnsi"/>
                <w:color w:val="1d2125"/>
                <w:sz w:val="20"/>
                <w:szCs w:val="20"/>
                <w:shd w:val="clear" w:color="auto" w:fill="ffffff"/>
              </w:rPr>
            </w:pPr>
            <w:r>
              <w:rPr>
                <w:rFonts w:asciiTheme="minorHAnsi" w:hAnsiTheme="minorHAnsi" w:cstheme="minorHAnsi"/>
                <w:color w:val="1d2125"/>
                <w:sz w:val="20"/>
                <w:szCs w:val="20"/>
                <w:shd w:val="clear" w:color="auto" w:fill="ffffff"/>
              </w:rPr>
              <w:t xml:space="preserve">- </w:t>
            </w:r>
            <w:r>
              <w:rPr>
                <w:rFonts w:asciiTheme="minorHAnsi" w:hAnsiTheme="minorHAnsi" w:cstheme="minorHAnsi"/>
                <w:color w:val="1d2125"/>
                <w:sz w:val="20"/>
                <w:szCs w:val="20"/>
                <w:shd w:val="clear" w:color="auto" w:fill="ffffff"/>
              </w:rPr>
              <w:t xml:space="preserve">Pinocchi</w:t>
            </w:r>
            <w:r>
              <w:rPr>
                <w:rFonts w:asciiTheme="minorHAnsi" w:hAnsiTheme="minorHAnsi" w:cstheme="minorHAnsi"/>
                <w:color w:val="1d2125"/>
                <w:sz w:val="20"/>
                <w:szCs w:val="20"/>
                <w:shd w:val="clear" w:color="auto" w:fill="ffffff"/>
              </w:rPr>
              <w:t xml:space="preserve">, Alessandro,</w:t>
            </w:r>
            <w:r>
              <w:rPr>
                <w:rStyle w:val="1130"/>
                <w:rFonts w:eastAsia="Arial" w:asciiTheme="minorHAnsi" w:hAnsiTheme="minorHAnsi" w:cstheme="minorHAnsi"/>
                <w:color w:val="1d2125"/>
                <w:sz w:val="20"/>
                <w:szCs w:val="20"/>
                <w:shd w:val="clear" w:color="auto" w:fill="ffffff"/>
              </w:rPr>
              <w:t xml:space="preserve"> </w:t>
            </w:r>
            <w:r>
              <w:rPr>
                <w:rStyle w:val="1131"/>
                <w:rFonts w:eastAsia="Arial" w:asciiTheme="minorHAnsi" w:hAnsiTheme="minorHAnsi" w:cstheme="minorHAnsi"/>
                <w:color w:val="1d2125"/>
                <w:sz w:val="20"/>
                <w:szCs w:val="20"/>
              </w:rPr>
              <w:t xml:space="preserve">Anent</w:t>
            </w:r>
            <w:r>
              <w:rPr>
                <w:rStyle w:val="1131"/>
                <w:rFonts w:eastAsia="Arial" w:asciiTheme="minorHAnsi" w:hAnsiTheme="minorHAnsi" w:cstheme="minorHAnsi"/>
                <w:color w:val="1d2125"/>
                <w:sz w:val="20"/>
                <w:szCs w:val="20"/>
              </w:rPr>
              <w:t xml:space="preserve">. Nouvelles des Indiens Jivaros,</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shd w:val="clear" w:color="auto" w:fill="ffffff"/>
              </w:rPr>
              <w:t xml:space="preserve">Steinkis</w:t>
            </w:r>
            <w:r>
              <w:rPr>
                <w:rFonts w:asciiTheme="minorHAnsi" w:hAnsiTheme="minorHAnsi" w:cstheme="minorHAnsi"/>
                <w:color w:val="1d2125"/>
                <w:sz w:val="20"/>
                <w:szCs w:val="20"/>
                <w:shd w:val="clear" w:color="auto" w:fill="ffffff"/>
              </w:rPr>
              <w:t xml:space="preserve">, 2021</w:t>
            </w:r>
            <w:r>
              <w:rPr>
                <w:rFonts w:asciiTheme="minorHAnsi" w:hAnsiTheme="minorHAnsi" w:cstheme="minorHAnsi"/>
                <w:color w:val="1d2125"/>
                <w:sz w:val="20"/>
                <w:szCs w:val="20"/>
                <w:shd w:val="clear" w:color="auto" w:fill="ffffff"/>
              </w:rPr>
            </w:r>
            <w:r>
              <w:rPr>
                <w:rFonts w:asciiTheme="minorHAnsi" w:hAnsiTheme="minorHAnsi" w:cstheme="minorHAnsi"/>
                <w:color w:val="1d2125"/>
                <w:sz w:val="20"/>
                <w:szCs w:val="20"/>
                <w:shd w:val="clear" w:color="auto" w:fill="ffffff"/>
              </w:rPr>
            </w:r>
          </w:p>
          <w:p w14:paraId="24116EEA"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Pons,</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Christophe, </w:t>
            </w:r>
            <w:r>
              <w:rPr>
                <w:rStyle w:val="1131"/>
                <w:rFonts w:eastAsia="Arial" w:asciiTheme="minorHAnsi" w:hAnsiTheme="minorHAnsi" w:cstheme="minorHAnsi"/>
                <w:color w:val="1d2125"/>
                <w:sz w:val="20"/>
                <w:szCs w:val="20"/>
              </w:rPr>
              <w:t xml:space="preserve">Le spectre et le voyant. Les échanges entre morts et vivants en Islande,</w:t>
            </w:r>
            <w:r>
              <w:rPr>
                <w:rStyle w:val="1130"/>
                <w:rFonts w:eastAsia="Arial"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Presse de l'Université de Paris-Sorbonne, 2002.</w:t>
            </w:r>
            <w:r>
              <w:rPr>
                <w:rFonts w:asciiTheme="minorHAnsi" w:hAnsiTheme="minorHAnsi" w:cstheme="minorHAnsi"/>
                <w:color w:val="1d2125"/>
                <w:sz w:val="20"/>
                <w:szCs w:val="20"/>
              </w:rPr>
            </w:r>
            <w:r>
              <w:rPr>
                <w:rFonts w:asciiTheme="minorHAnsi" w:hAnsiTheme="minorHAnsi" w:cstheme="minorHAnsi"/>
                <w:color w:val="1d2125"/>
                <w:sz w:val="20"/>
                <w:szCs w:val="20"/>
              </w:rPr>
            </w:r>
          </w:p>
          <w:p w14:paraId="4BD8CE7D" w14:textId="77777777">
            <w:pPr>
              <w:pStyle w:val="1129"/>
              <w:pBdr/>
              <w:spacing w:after="0" w:afterAutospacing="0" w:before="120" w:beforeAutospacing="0"/>
              <w:ind/>
              <w:rPr>
                <w:rFonts w:asciiTheme="minorHAnsi" w:hAnsiTheme="minorHAnsi" w:cstheme="minorHAnsi"/>
                <w:color w:val="1d2125"/>
                <w:sz w:val="20"/>
                <w:szCs w:val="20"/>
              </w:rPr>
            </w:pPr>
            <w:r>
              <w:rPr>
                <w:rFonts w:asciiTheme="minorHAnsi" w:hAnsiTheme="minorHAnsi" w:cstheme="minorHAnsi"/>
                <w:color w:val="1d2125"/>
                <w:sz w:val="20"/>
                <w:szCs w:val="20"/>
              </w:rPr>
              <w:t xml:space="preserve">- </w:t>
            </w:r>
            <w:r>
              <w:rPr>
                <w:rFonts w:asciiTheme="minorHAnsi" w:hAnsiTheme="minorHAnsi" w:cstheme="minorHAnsi"/>
                <w:color w:val="1d2125"/>
                <w:sz w:val="20"/>
                <w:szCs w:val="20"/>
              </w:rPr>
              <w:t xml:space="preserve">Sahlins</w:t>
            </w:r>
            <w:r>
              <w:rPr>
                <w:rFonts w:asciiTheme="minorHAnsi" w:hAnsiTheme="minorHAnsi" w:cstheme="minorHAnsi"/>
                <w:color w:val="1d2125"/>
                <w:sz w:val="20"/>
                <w:szCs w:val="20"/>
              </w:rPr>
              <w:t xml:space="preserve">, Marshall, </w:t>
            </w:r>
            <w:r>
              <w:rPr>
                <w:rFonts w:asciiTheme="minorHAnsi" w:hAnsiTheme="minorHAnsi" w:cstheme="minorHAnsi"/>
                <w:i/>
                <w:iCs/>
                <w:color w:val="1d2125"/>
                <w:sz w:val="20"/>
                <w:szCs w:val="20"/>
              </w:rPr>
              <w:t xml:space="preserve">Age de pierre, âge d'abondance. L'économie des sociétés primitives,</w:t>
            </w:r>
            <w:r>
              <w:rPr>
                <w:rFonts w:asciiTheme="minorHAnsi" w:hAnsiTheme="minorHAnsi" w:cstheme="minorHAnsi"/>
                <w:color w:val="1d2125"/>
                <w:sz w:val="20"/>
                <w:szCs w:val="20"/>
              </w:rPr>
              <w:t xml:space="preserve"> 1976 pour la traduction française, [1972]</w:t>
            </w:r>
            <w:r>
              <w:rPr>
                <w:rFonts w:asciiTheme="minorHAnsi" w:hAnsiTheme="minorHAnsi" w:cstheme="minorHAnsi"/>
                <w:color w:val="1d2125"/>
                <w:sz w:val="20"/>
                <w:szCs w:val="20"/>
              </w:rPr>
            </w:r>
            <w:r>
              <w:rPr>
                <w:rFonts w:asciiTheme="minorHAnsi" w:hAnsiTheme="minorHAnsi" w:cstheme="minorHAnsi"/>
                <w:color w:val="1d2125"/>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6A0F50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7E5662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E651B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obligatoire</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AD8D17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7540FA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color w:val="000000" w:themeColor="text1"/>
                <w:sz w:val="20"/>
                <w:szCs w:val="20"/>
              </w:rPr>
              <w:t xml:space="preserve">Prérequis recommandé</w:t>
            </w:r>
            <w:r>
              <w:rPr>
                <w:rFonts w:asciiTheme="minorHAnsi" w:hAnsiTheme="minorHAnsi" w:cstheme="minorHAnsi"/>
                <w:b/>
                <w:color w:val="000000" w:themeColor="text1"/>
                <w:sz w:val="20"/>
                <w:szCs w:val="20"/>
              </w:rPr>
              <w:t xml:space="preserve">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E9F2F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Aucun</w:t>
            </w:r>
            <w:r>
              <w:rPr>
                <w:rFonts w:asciiTheme="minorHAnsi" w:hAnsiTheme="minorHAnsi" w:cstheme="minorHAnsi"/>
                <w:color w:val="000000" w:themeColor="text1"/>
                <w:sz w:val="20"/>
                <w:szCs w:val="20"/>
              </w:rPr>
            </w:r>
            <w:r>
              <w:rPr>
                <w:rFonts w:asciiTheme="minorHAnsi" w:hAnsiTheme="minorHAnsi" w:cstheme="min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EFC4F6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07FDC7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FF8EFB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Mode de contrôle des connaissances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10D76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Cs/>
                <w:i/>
                <w:color w:val="000000" w:themeColor="text1"/>
                <w:sz w:val="20"/>
                <w:szCs w:val="20"/>
              </w:rPr>
            </w:pPr>
            <w:r>
              <w:rPr>
                <w:rFonts w:asciiTheme="minorHAnsi" w:hAnsiTheme="minorHAnsi" w:cstheme="minorHAnsi"/>
                <w:bCs/>
                <w:i/>
                <w:color w:val="000000" w:themeColor="text1"/>
                <w:sz w:val="20"/>
                <w:szCs w:val="20"/>
              </w:rPr>
              <w:t xml:space="preserve">Contrôle Continu Intégral</w:t>
            </w:r>
            <w:r>
              <w:rPr>
                <w:rFonts w:asciiTheme="minorHAnsi" w:hAnsiTheme="minorHAnsi" w:cstheme="minorHAnsi"/>
                <w:bCs/>
                <w:i/>
                <w:color w:val="000000" w:themeColor="text1"/>
                <w:sz w:val="20"/>
                <w:szCs w:val="20"/>
              </w:rPr>
            </w:r>
            <w:r>
              <w:rPr>
                <w:rFonts w:asciiTheme="minorHAnsi" w:hAnsiTheme="minorHAnsi" w:cstheme="minorHAnsi"/>
                <w:bCs/>
                <w: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B14F87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Effectif maximal </w:t>
            </w:r>
            <w:r>
              <w:rPr>
                <w:rFonts w:asciiTheme="minorHAnsi" w:hAnsiTheme="minorHAnsi" w:cstheme="minorHAnsi"/>
                <w:b/>
                <w:color w:val="000000" w:themeColor="text1"/>
                <w:sz w:val="20"/>
                <w:szCs w:val="20"/>
              </w:rPr>
            </w:r>
            <w:r>
              <w:rPr>
                <w:rFonts w:asciiTheme="minorHAnsi" w:hAnsiTheme="minorHAnsi" w:cstheme="min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8D17C5" w14:textId="39B3ED24">
            <w:pPr>
              <w:pBdr>
                <w:top w:val="none" w:color="000000" w:sz="4" w:space="0"/>
                <w:left w:val="none" w:color="000000" w:sz="4" w:space="0"/>
                <w:bottom w:val="none" w:color="000000" w:sz="4" w:space="0"/>
                <w:right w:val="none" w:color="000000" w:sz="4" w:space="0"/>
                <w:between w:val="none" w:color="000000" w:sz="4" w:space="0"/>
              </w:pBdr>
              <w:spacing/>
              <w:ind/>
              <w:rPr>
                <w:rFonts w:asciiTheme="minorHAnsi" w:hAnsiTheme="minorHAnsi" w:cstheme="minorHAnsi"/>
                <w:i/>
                <w:color w:val="000000" w:themeColor="text1"/>
                <w:sz w:val="20"/>
                <w:szCs w:val="20"/>
              </w:rPr>
            </w:pPr>
            <w:r>
              <w:rPr>
                <w:rFonts w:asciiTheme="minorHAnsi" w:hAnsiTheme="minorHAnsi" w:cstheme="minorHAnsi"/>
                <w:i/>
                <w:color w:val="000000" w:themeColor="text1"/>
                <w:sz w:val="20"/>
                <w:szCs w:val="20"/>
              </w:rPr>
              <w:t xml:space="preserve">340</w:t>
            </w:r>
            <w:r>
              <w:rPr>
                <w:rFonts w:asciiTheme="minorHAnsi" w:hAnsiTheme="minorHAnsi" w:cstheme="minorHAnsi"/>
                <w:i/>
                <w:color w:val="000000" w:themeColor="text1"/>
                <w:sz w:val="20"/>
                <w:szCs w:val="20"/>
              </w:rPr>
            </w:r>
            <w:r>
              <w:rPr>
                <w:rFonts w:asciiTheme="minorHAnsi" w:hAnsiTheme="minorHAnsi" w:cstheme="minorHAnsi"/>
                <w:i/>
                <w:color w:val="000000" w:themeColor="text1"/>
                <w:sz w:val="20"/>
                <w:szCs w:val="20"/>
              </w:rPr>
            </w:r>
          </w:p>
        </w:tc>
      </w:tr>
    </w:tbl>
    <w:p w14:paraId="4D357593" w14:textId="16EC7247">
      <w:pPr>
        <w:pBdr/>
        <w:spacing/>
        <w:ind/>
        <w:rPr>
          <w:rFonts w:asciiTheme="minorHAnsi" w:hAnsiTheme="minorHAnsi" w:cstheme="minorHAnsi"/>
          <w:color w:val="000000" w:themeColor="text1"/>
        </w:rPr>
      </w:pPr>
      <w:r>
        <w:rPr>
          <w:rFonts w:asciiTheme="minorHAnsi" w:hAnsiTheme="minorHAnsi" w:cstheme="minorHAnsi"/>
          <w:color w:val="000000" w:themeColor="text1"/>
        </w:rPr>
      </w:r>
      <w:r>
        <w:rPr>
          <w:rFonts w:asciiTheme="minorHAnsi" w:hAnsiTheme="minorHAnsi" w:cstheme="minorHAnsi"/>
          <w:color w:val="000000" w:themeColor="text1"/>
        </w:rPr>
      </w:r>
      <w:r>
        <w:rPr>
          <w:rFonts w:asciiTheme="minorHAnsi" w:hAnsiTheme="minorHAnsi" w:cstheme="minorHAnsi"/>
          <w:color w:val="000000" w:themeColor="text1"/>
        </w:rPr>
      </w:r>
    </w:p>
    <w:p w14:paraId="3996F0F4" w14:textId="44761F55">
      <w:pPr>
        <w:pBdr/>
        <w:spacing/>
        <w:ind/>
        <w:rPr>
          <w:color w:val="000000" w:themeColor="text1"/>
        </w:rPr>
      </w:pPr>
      <w:r>
        <w:rPr>
          <w:color w:val="000000" w:themeColor="text1"/>
        </w:rPr>
      </w:r>
      <w:r>
        <w:rPr>
          <w:color w:val="000000" w:themeColor="text1"/>
        </w:rPr>
      </w:r>
      <w:r>
        <w:rPr>
          <w:color w:val="000000" w:themeColor="text1"/>
        </w:rPr>
      </w:r>
    </w:p>
    <w:p w14:paraId="029CD873" w14:textId="56285BB7">
      <w:pPr>
        <w:pBdr/>
        <w:spacing/>
        <w:ind/>
        <w:rPr>
          <w:color w:val="000000" w:themeColor="text1"/>
        </w:rPr>
      </w:pPr>
      <w:r>
        <w:rPr>
          <w:color w:val="000000" w:themeColor="text1"/>
        </w:rPr>
      </w:r>
      <w:r>
        <w:rPr>
          <w:color w:val="000000" w:themeColor="text1"/>
        </w:rPr>
      </w:r>
      <w:r>
        <w:rPr>
          <w:color w:val="000000" w:themeColor="text1"/>
        </w:rPr>
      </w:r>
    </w:p>
    <w:p w14:paraId="65534E34" w14:textId="47EBFFC0">
      <w:pPr>
        <w:pBdr/>
        <w:spacing/>
        <w:ind/>
        <w:rPr>
          <w:color w:val="000000" w:themeColor="text1"/>
        </w:rPr>
      </w:pPr>
      <w:r>
        <w:rPr>
          <w:color w:val="000000" w:themeColor="text1"/>
        </w:rPr>
      </w:r>
      <w:r>
        <w:rPr>
          <w:color w:val="000000" w:themeColor="text1"/>
        </w:rPr>
      </w:r>
      <w:r>
        <w:rPr>
          <w:color w:val="000000" w:themeColor="text1"/>
        </w:rPr>
      </w:r>
    </w:p>
    <w:p w14:paraId="43BF40F1" w14:textId="1B2B2F60">
      <w:pPr>
        <w:pBdr/>
        <w:spacing/>
        <w:ind/>
        <w:rPr>
          <w:color w:val="000000" w:themeColor="text1"/>
        </w:rPr>
      </w:pPr>
      <w:r>
        <w:rPr>
          <w:color w:val="000000" w:themeColor="text1"/>
        </w:rPr>
      </w:r>
      <w:r>
        <w:rPr>
          <w:color w:val="000000" w:themeColor="text1"/>
        </w:rPr>
      </w:r>
      <w:r>
        <w:rPr>
          <w:color w:val="000000" w:themeColor="text1"/>
        </w:rPr>
      </w:r>
    </w:p>
    <w:p w14:paraId="62C536D6" w14:textId="0E9B5C93">
      <w:pPr>
        <w:pBdr/>
        <w:spacing/>
        <w:ind/>
        <w:rPr>
          <w:color w:val="000000" w:themeColor="text1"/>
        </w:rPr>
      </w:pPr>
      <w:r>
        <w:rPr>
          <w:color w:val="000000" w:themeColor="text1"/>
        </w:rPr>
      </w:r>
      <w:r>
        <w:rPr>
          <w:color w:val="000000" w:themeColor="text1"/>
        </w:rPr>
      </w:r>
      <w:r>
        <w:rPr>
          <w:color w:val="000000" w:themeColor="text1"/>
        </w:rPr>
      </w:r>
    </w:p>
    <w:p w14:paraId="793B2467" w14:textId="6CF07BAD">
      <w:pPr>
        <w:pBdr/>
        <w:spacing/>
        <w:ind/>
        <w:rPr>
          <w:color w:val="000000" w:themeColor="text1"/>
        </w:rPr>
      </w:pPr>
      <w:r>
        <w:rPr>
          <w:color w:val="000000" w:themeColor="text1"/>
        </w:rPr>
      </w:r>
      <w:r>
        <w:rPr>
          <w:color w:val="000000" w:themeColor="text1"/>
        </w:rPr>
      </w:r>
      <w:r>
        <w:rPr>
          <w:color w:val="000000" w:themeColor="text1"/>
        </w:rPr>
      </w:r>
    </w:p>
    <w:p w14:paraId="60C58A37" w14:textId="15544F40">
      <w:pPr>
        <w:pBdr/>
        <w:spacing/>
        <w:ind/>
        <w:rPr>
          <w:color w:val="000000" w:themeColor="text1"/>
        </w:rPr>
      </w:pPr>
      <w:r>
        <w:rPr>
          <w:color w:val="000000" w:themeColor="text1"/>
        </w:rPr>
      </w:r>
      <w:r>
        <w:rPr>
          <w:color w:val="000000" w:themeColor="text1"/>
        </w:rPr>
      </w:r>
      <w:r>
        <w:rPr>
          <w:color w:val="000000" w:themeColor="text1"/>
        </w:rPr>
      </w:r>
    </w:p>
    <w:p w14:paraId="5E7119F9" w14:textId="33FE497D">
      <w:pPr>
        <w:pBdr/>
        <w:spacing/>
        <w:ind/>
        <w:rPr>
          <w:color w:val="000000" w:themeColor="text1"/>
        </w:rPr>
      </w:pPr>
      <w:r>
        <w:rPr>
          <w:color w:val="000000" w:themeColor="text1"/>
        </w:rPr>
      </w:r>
      <w:r>
        <w:rPr>
          <w:color w:val="000000" w:themeColor="text1"/>
        </w:rPr>
      </w:r>
      <w:r>
        <w:rPr>
          <w:color w:val="000000" w:themeColor="text1"/>
        </w:rPr>
      </w:r>
    </w:p>
    <w:p w14:paraId="3D5606B2" w14:textId="402C7780">
      <w:pPr>
        <w:pBdr/>
        <w:spacing/>
        <w:ind/>
        <w:rPr>
          <w:color w:val="000000" w:themeColor="text1"/>
        </w:rPr>
      </w:pPr>
      <w:r>
        <w:rPr>
          <w:color w:val="000000" w:themeColor="text1"/>
        </w:rPr>
      </w:r>
      <w:r>
        <w:rPr>
          <w:color w:val="000000" w:themeColor="text1"/>
        </w:rPr>
      </w:r>
      <w:r>
        <w:rPr>
          <w:color w:val="000000" w:themeColor="text1"/>
        </w:rPr>
      </w:r>
    </w:p>
    <w:p w14:paraId="04F150FB" w14:textId="38BC5ABE">
      <w:pPr>
        <w:pBdr/>
        <w:spacing/>
        <w:ind/>
        <w:rPr>
          <w:color w:val="000000" w:themeColor="text1"/>
        </w:rPr>
      </w:pPr>
      <w:r>
        <w:rPr>
          <w:color w:val="000000" w:themeColor="text1"/>
        </w:rPr>
      </w:r>
      <w:r>
        <w:rPr>
          <w:color w:val="000000" w:themeColor="text1"/>
        </w:rPr>
      </w:r>
      <w:r>
        <w:rPr>
          <w:color w:val="000000" w:themeColor="text1"/>
        </w:rPr>
      </w:r>
    </w:p>
    <w:p w14:paraId="2CF1EF49" w14:textId="58758934">
      <w:pPr>
        <w:pBdr/>
        <w:spacing/>
        <w:ind/>
        <w:rPr>
          <w:color w:val="000000" w:themeColor="text1"/>
        </w:rPr>
      </w:pPr>
      <w:r>
        <w:rPr>
          <w:color w:val="000000" w:themeColor="text1"/>
        </w:rPr>
      </w:r>
      <w:r>
        <w:rPr>
          <w:color w:val="000000" w:themeColor="text1"/>
        </w:rPr>
      </w:r>
      <w:r>
        <w:rPr>
          <w:color w:val="000000" w:themeColor="text1"/>
        </w:rPr>
      </w:r>
    </w:p>
    <w:p w14:paraId="301D66E2" w14:textId="7300C184">
      <w:pPr>
        <w:pBdr/>
        <w:spacing/>
        <w:ind/>
        <w:rPr>
          <w:color w:val="000000" w:themeColor="text1"/>
        </w:rPr>
      </w:pPr>
      <w:r>
        <w:rPr>
          <w:color w:val="000000" w:themeColor="text1"/>
        </w:rPr>
      </w:r>
      <w:r>
        <w:rPr>
          <w:color w:val="000000" w:themeColor="text1"/>
        </w:rPr>
      </w:r>
      <w:r>
        <w:rPr>
          <w:color w:val="000000" w:themeColor="text1"/>
        </w:rPr>
      </w:r>
    </w:p>
    <w:p w14:paraId="7F0CE7D9" w14:textId="2D277CA0">
      <w:pPr>
        <w:pBdr/>
        <w:spacing/>
        <w:ind/>
        <w:rPr>
          <w:color w:val="000000" w:themeColor="text1"/>
        </w:rPr>
      </w:pPr>
      <w:r>
        <w:rPr>
          <w:color w:val="000000" w:themeColor="text1"/>
        </w:rPr>
      </w:r>
      <w:r>
        <w:rPr>
          <w:color w:val="000000" w:themeColor="text1"/>
        </w:rPr>
      </w:r>
      <w:r>
        <w:rPr>
          <w:color w:val="000000" w:themeColor="text1"/>
        </w:rPr>
      </w:r>
    </w:p>
    <w:p w14:paraId="5EE4C54A" w14:textId="09718672">
      <w:pPr>
        <w:pBdr/>
        <w:spacing/>
        <w:ind/>
        <w:rPr>
          <w:color w:val="000000" w:themeColor="text1"/>
        </w:rPr>
      </w:pPr>
      <w:r>
        <w:rPr>
          <w:color w:val="000000" w:themeColor="text1"/>
        </w:rPr>
      </w:r>
      <w:r>
        <w:rPr>
          <w:color w:val="000000" w:themeColor="text1"/>
        </w:rPr>
      </w:r>
      <w:r>
        <w:rPr>
          <w:color w:val="000000" w:themeColor="text1"/>
        </w:rPr>
      </w:r>
    </w:p>
    <w:p w14:paraId="6539E3E3" w14:textId="77777777">
      <w:pPr>
        <w:pBdr/>
        <w:spacing/>
        <w:ind/>
        <w:rPr>
          <w:color w:val="000000" w:themeColor="text1"/>
        </w:rPr>
      </w:pPr>
      <w:r>
        <w:rPr>
          <w:color w:val="000000" w:themeColor="text1"/>
        </w:rPr>
      </w:r>
      <w:r>
        <w:rPr>
          <w:color w:val="000000" w:themeColor="text1"/>
        </w:rPr>
      </w:r>
      <w:r>
        <w:rPr>
          <w:color w:val="000000" w:themeColor="text1"/>
        </w:rPr>
      </w:r>
    </w:p>
    <w:sectPr>
      <w:headerReference w:type="first" r:id="rId9"/>
      <w:footerReference w:type="default" r:id="rId10"/>
      <w:footerReference w:type="first" r:id="rId11"/>
      <w:footnotePr/>
      <w:endnotePr/>
      <w:type w:val="nextPage"/>
      <w:pgSz w:h="16838" w:orient="portrait" w:w="11906"/>
      <w:pgMar w:top="1417" w:right="1417" w:bottom="1417" w:left="1417" w:header="2041" w:footer="907"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4E5CBB5" w14:textId="77777777">
      <w:pPr>
        <w:pBdr/>
        <w:spacing/>
        <w:ind/>
        <w:rPr/>
      </w:pPr>
      <w:r>
        <w:separator/>
      </w:r>
      <w:r/>
    </w:p>
  </w:endnote>
  <w:endnote w:type="continuationSeparator" w:id="0">
    <w:p w14:paraId="56950E52"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defined">
    <w:panose1 w:val="020F0502020204030204"/>
  </w:font>
  <w:font w:name="Verdana">
    <w:panose1 w:val="020B0604030504040204"/>
  </w:font>
  <w:font w:name="Noto Sans Symbols">
    <w:panose1 w:val="020F0502020204030204"/>
  </w:font>
  <w:font w:name="Symbol">
    <w:panose1 w:val="05010000000000000000"/>
  </w:font>
  <w:font w:name="Courier New">
    <w:panose1 w:val="02070309020205020404"/>
  </w:font>
  <w:font w:name="Wingdings">
    <w:panose1 w:val="05010000000000000000"/>
  </w:font>
  <w:font w:name="Liberation Sans">
    <w:panose1 w:val="020B0604020202020204"/>
  </w:font>
  <w:font w:name="Arial">
    <w:panose1 w:val="020B06040202020202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431E77D" w14:textId="4FD6DB5D">
    <w:pPr>
      <w:pStyle w:val="1117"/>
      <w:pBdr/>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0" locked="0" layoutInCell="1" allowOverlap="1">
              <wp:simplePos x="0" y="0"/>
              <wp:positionH relativeFrom="page">
                <wp:align>left</wp:align>
              </wp:positionH>
              <wp:positionV relativeFrom="paragraph">
                <wp:posOffset>1905</wp:posOffset>
              </wp:positionV>
              <wp:extent cx="1247775" cy="1285875"/>
              <wp:effectExtent l="0" t="0" r="9525" b="9525"/>
              <wp:wrapNone/>
              <wp:docPr id="4" name="Rectangle 27"/>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3" o:spid="_x0000_s3" o:spt="1" type="#_x0000_t1" style="position:absolute;z-index:251681792;o:allowoverlap:true;o:allowincell:true;mso-position-horizontal-relative:page;mso-position-horizontal:left;mso-position-vertical-relative:text;margin-top:0.15pt;mso-position-vertical:absolute;width:98.25pt;height:101.25pt;mso-wrap-distance-left:9.00pt;mso-wrap-distance-top:0.00pt;mso-wrap-distance-right:9.00pt;mso-wrap-distance-bottom:0.00pt;visibility:visible;" fillcolor="#FED100" stroked="f" strokeweight="1.00pt">
              <v:stroke dashstyle="solid"/>
            </v:shape>
          </w:pict>
        </mc:Fallback>
      </mc:AlternateContent>
    </w:r>
    <w:r/>
  </w:p>
  <w:p w14:paraId="598A650D" w14:textId="77777777">
    <w:pPr>
      <w:pStyle w:val="1117"/>
      <w:pBdr/>
      <w:spacing/>
      <w:ind/>
      <w:jc w:val="right"/>
      <w:rPr/>
    </w:pPr>
    <w:r/>
    <w:r/>
  </w:p>
  <w:p w14:paraId="2D5377DE" w14:textId="77777777">
    <w:pPr>
      <w:pStyle w:val="1117"/>
      <w:pBdr/>
      <w:spacing/>
      <w:ind/>
      <w:jc w:val="right"/>
      <w:rPr/>
    </w:pPr>
    <w:r/>
    <w:r/>
  </w:p>
  <w:p w14:paraId="762A58CF" w14:textId="447F265C">
    <w:pPr>
      <w:pStyle w:val="1117"/>
      <w:pBdr/>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0" locked="0" layoutInCell="1" allowOverlap="1">
              <wp:simplePos x="0" y="0"/>
              <wp:positionH relativeFrom="page">
                <wp:posOffset>1207135</wp:posOffset>
              </wp:positionH>
              <wp:positionV relativeFrom="paragraph">
                <wp:posOffset>561975</wp:posOffset>
              </wp:positionV>
              <wp:extent cx="6353175" cy="180975"/>
              <wp:effectExtent l="0" t="0" r="9525" b="9525"/>
              <wp:wrapNone/>
              <wp:docPr id="5" name="Rectangle 28"/>
              <wp:cNvGraphicFramePr/>
              <a:graphic xmlns:a="http://schemas.openxmlformats.org/drawingml/2006/main">
                <a:graphicData uri="http://schemas.microsoft.com/office/word/2010/wordprocessingShape">
                  <wps:wsp>
                    <wps:cNvPr id="0" name=""/>
                    <wps:cNvSpPr/>
                    <wps:spPr bwMode="auto">
                      <a:xfrm>
                        <a:off x="0" y="0"/>
                        <a:ext cx="6353175" cy="1809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anchor>
          </w:drawing>
        </mc:Choice>
        <mc:Fallback>
          <w:pict>
            <v:shape id="shape 4" o:spid="_x0000_s4" o:spt="1" type="#_x0000_t1" style="position:absolute;z-index:251683840;o:allowoverlap:true;o:allowincell:true;mso-position-horizontal-relative:page;margin-left:95.05pt;mso-position-horizontal:absolute;mso-position-vertical-relative:text;margin-top:44.25pt;mso-position-vertical:absolute;width:500.25pt;height:14.25pt;mso-wrap-distance-left:9.00pt;mso-wrap-distance-top:0.00pt;mso-wrap-distance-right:9.00pt;mso-wrap-distance-bottom:0.00pt;visibility:visible;" fillcolor="#FED100" stroked="f" strokeweight="1.00pt">
              <v:stroke dashstyle="solid"/>
            </v:shape>
          </w:pict>
        </mc:Fallback>
      </mc:AlternateContent>
    </w:r>
    <w:sdt>
      <w:sdtPr>
        <w15:appearance w15:val="boundingBox"/>
        <w:id w:val="1687330852"/>
        <w:docPartObj>
          <w:docPartGallery w:val="Page Numbers (Bottom of Page)"/>
          <w:docPartUnique w:val="true"/>
        </w:docPartObj>
        <w:rPr/>
      </w:sdtPr>
      <w:sdtContent>
        <w:r>
          <w:fldChar w:fldCharType="begin"/>
        </w:r>
        <w:r>
          <w:instrText xml:space="preserve">PAGE   \* MERGEFORMAT</w:instrText>
        </w:r>
        <w:r>
          <w:fldChar w:fldCharType="separate"/>
        </w:r>
        <w:r>
          <w:t xml:space="preserve">2</w:t>
        </w:r>
        <w:r>
          <w:fldChar w:fldCharType="end"/>
        </w:r>
        <w:r>
          <w:t xml:space="preserve">/</w:t>
        </w:r>
        <w:r>
          <w:t xml:space="preserve">19</w:t>
        </w:r>
      </w:sdtContent>
    </w:sd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BA78051" w14:textId="6487A7CB">
    <w:pPr>
      <w:pStyle w:val="111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0" locked="0" layoutInCell="1" allowOverlap="1">
              <wp:simplePos x="0" y="0"/>
              <wp:positionH relativeFrom="page">
                <wp:align>left</wp:align>
              </wp:positionH>
              <wp:positionV relativeFrom="paragraph">
                <wp:posOffset>-23495</wp:posOffset>
              </wp:positionV>
              <wp:extent cx="1247775" cy="1285875"/>
              <wp:effectExtent l="0" t="0" r="9525" b="9525"/>
              <wp:wrapNone/>
              <wp:docPr id="6" name="Rectangle 2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5" o:spid="_x0000_s5" o:spt="1" type="#_x0000_t1" style="position:absolute;z-index:251678720;o:allowoverlap:true;o:allowincell:true;mso-position-horizontal-relative:page;mso-position-horizontal:left;mso-position-vertical-relative:text;margin-top:-1.85pt;mso-position-vertical:absolute;width:98.25pt;height:101.25pt;mso-wrap-distance-left:9.00pt;mso-wrap-distance-top:0.00pt;mso-wrap-distance-right:9.00pt;mso-wrap-distance-bottom:0.00pt;visibility:visible;" fillcolor="#FED100" stroked="f" strokeweight="1.00pt">
              <v:stroke dashstyle="solid"/>
            </v:shape>
          </w:pict>
        </mc:Fallback>
      </mc:AlternateContent>
    </w:r>
    <w:r/>
  </w:p>
  <w:p w14:paraId="63F28FC5" w14:textId="77777777">
    <w:pPr>
      <w:pStyle w:val="1117"/>
      <w:pBdr/>
      <w:spacing/>
      <w:ind/>
      <w:jc w:val="right"/>
      <w:rPr/>
    </w:pPr>
    <w:r/>
    <w:r/>
  </w:p>
  <w:sdt>
    <w:sdtPr>
      <w15:appearance w15:val="boundingBox"/>
      <w:id w:val="-183214416"/>
      <w:docPartObj>
        <w:docPartGallery w:val="Page Numbers (Bottom of Page)"/>
        <w:docPartUnique w:val="true"/>
      </w:docPartObj>
      <w:rPr/>
    </w:sdtPr>
    <w:sdtContent>
      <w:p w14:paraId="6B826B94" w14:textId="77777777">
        <w:pPr>
          <w:pStyle w:val="1117"/>
          <w:pBdr/>
          <w:spacing/>
          <w:ind/>
          <w:jc w:val="right"/>
          <w:rPr/>
        </w:pPr>
        <w:r>
          <w:fldChar w:fldCharType="begin"/>
        </w:r>
        <w:r>
          <w:instrText xml:space="preserve">PAGE   \* MERGEFORMAT</w:instrText>
        </w:r>
        <w:r>
          <w:fldChar w:fldCharType="separate"/>
        </w:r>
        <w:r>
          <w:t xml:space="preserve">2</w:t>
        </w:r>
        <w:r>
          <w:fldChar w:fldCharType="end"/>
        </w:r>
        <w:r>
          <w:t xml:space="preserve">/17</w:t>
        </w:r>
        <w:r/>
      </w:p>
    </w:sdtContent>
  </w:sdt>
  <w:p w14:paraId="05660601" w14:textId="4484D2D4">
    <w:pPr>
      <w:pStyle w:val="1117"/>
      <w:pBdr/>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0" locked="0" layoutInCell="1" allowOverlap="1">
              <wp:simplePos x="0" y="0"/>
              <wp:positionH relativeFrom="page">
                <wp:posOffset>1200150</wp:posOffset>
              </wp:positionH>
              <wp:positionV relativeFrom="paragraph">
                <wp:posOffset>555625</wp:posOffset>
              </wp:positionV>
              <wp:extent cx="6353175" cy="180975"/>
              <wp:effectExtent l="0" t="0" r="9525" b="9525"/>
              <wp:wrapNone/>
              <wp:docPr id="7" name="Rectangle 26"/>
              <wp:cNvGraphicFramePr/>
              <a:graphic xmlns:a="http://schemas.openxmlformats.org/drawingml/2006/main">
                <a:graphicData uri="http://schemas.microsoft.com/office/word/2010/wordprocessingShape">
                  <wps:wsp>
                    <wps:cNvPr id="0" name=""/>
                    <wps:cNvSpPr/>
                    <wps:spPr bwMode="auto">
                      <a:xfrm>
                        <a:off x="0" y="0"/>
                        <a:ext cx="6353175" cy="1809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BFCFA1"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anchor>
          </w:drawing>
        </mc:Choice>
        <mc:Fallback>
          <w:pict>
            <v:shape id="shape 6" o:spid="_x0000_s6" o:spt="1" type="#_x0000_t1" style="position:absolute;z-index:251679744;o:allowoverlap:true;o:allowincell:true;mso-position-horizontal-relative:page;margin-left:94.50pt;mso-position-horizontal:absolute;mso-position-vertical-relative:text;margin-top:43.75pt;mso-position-vertical:absolute;width:500.25pt;height:14.25pt;mso-wrap-distance-left:9.00pt;mso-wrap-distance-top:0.00pt;mso-wrap-distance-right:9.00pt;mso-wrap-distance-bottom:0.00pt;v-text-anchor:middle;visibility:visible;" fillcolor="#FED100" stroked="f" strokeweight="1.00pt">
              <v:stroke dashstyle="solid"/>
              <v:textbox inset="0,0,0,0">
                <w:txbxContent>
                  <w:p w14:paraId="14BFCFA1" w14:textId="77777777">
                    <w:pPr>
                      <w:pBdr/>
                      <w:spacing/>
                      <w:ind/>
                      <w:jc w:val="center"/>
                      <w:rPr/>
                    </w:pPr>
                    <w: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57D9AE65" w14:textId="77777777">
      <w:pPr>
        <w:pBdr/>
        <w:spacing/>
        <w:ind/>
        <w:rPr/>
      </w:pPr>
      <w:r>
        <w:separator/>
      </w:r>
      <w:r/>
    </w:p>
  </w:footnote>
  <w:footnote w:type="continuationSeparator" w:id="0">
    <w:p w14:paraId="1D443AE2"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EF6014" w14:textId="0BB81A7B">
    <w:pPr>
      <w:pStyle w:val="111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0" locked="0" layoutInCell="1" allowOverlap="1">
              <wp:simplePos x="0" y="0"/>
              <wp:positionH relativeFrom="column">
                <wp:posOffset>3091180</wp:posOffset>
              </wp:positionH>
              <wp:positionV relativeFrom="paragraph">
                <wp:posOffset>-1286510</wp:posOffset>
              </wp:positionV>
              <wp:extent cx="3552825" cy="923925"/>
              <wp:effectExtent l="0" t="0" r="9525" b="9525"/>
              <wp:wrapNone/>
              <wp:docPr id="1" name="Rectangle 24"/>
              <wp:cNvGraphicFramePr/>
              <a:graphic xmlns:a="http://schemas.openxmlformats.org/drawingml/2006/main">
                <a:graphicData uri="http://schemas.microsoft.com/office/word/2010/wordprocessingShape">
                  <wps:wsp>
                    <wps:cNvPr id="0" name=""/>
                    <wps:cNvSpPr/>
                    <wps:spPr bwMode="auto">
                      <a:xfrm>
                        <a:off x="0" y="0"/>
                        <a:ext cx="3552825"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1" type="#_x0000_t1" style="position:absolute;z-index:251677696;o:allowoverlap:true;o:allowincell:true;mso-position-horizontal-relative:text;margin-left:243.40pt;mso-position-horizontal:absolute;mso-position-vertical-relative:text;margin-top:-101.30pt;mso-position-vertical:absolute;width:279.75pt;height:72.75pt;mso-wrap-distance-left:9.00pt;mso-wrap-distance-top:0.00pt;mso-wrap-distance-right:9.00pt;mso-wrap-distance-bottom:0.00pt;visibility:visible;" fillcolor="#FED100"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0" locked="0" layoutInCell="1" allowOverlap="1">
              <wp:simplePos x="0" y="0"/>
              <wp:positionH relativeFrom="column">
                <wp:posOffset>-890270</wp:posOffset>
              </wp:positionH>
              <wp:positionV relativeFrom="paragraph">
                <wp:posOffset>-1296035</wp:posOffset>
              </wp:positionV>
              <wp:extent cx="4000500" cy="180975"/>
              <wp:effectExtent l="0" t="0" r="0" b="9525"/>
              <wp:wrapNone/>
              <wp:docPr id="2" name="Rectangle 23"/>
              <wp:cNvGraphicFramePr/>
              <a:graphic xmlns:a="http://schemas.openxmlformats.org/drawingml/2006/main">
                <a:graphicData uri="http://schemas.microsoft.com/office/word/2010/wordprocessingShape">
                  <wps:wsp>
                    <wps:cNvPr id="0" name=""/>
                    <wps:cNvSpPr/>
                    <wps:spPr bwMode="auto">
                      <a:xfrm>
                        <a:off x="0" y="0"/>
                        <a:ext cx="4000500" cy="1809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1" o:spid="_x0000_s1" o:spt="1" type="#_x0000_t1" style="position:absolute;z-index:251676672;o:allowoverlap:true;o:allowincell:true;mso-position-horizontal-relative:text;margin-left:-70.10pt;mso-position-horizontal:absolute;mso-position-vertical-relative:text;margin-top:-102.05pt;mso-position-vertical:absolute;width:315.00pt;height:14.25pt;mso-wrap-distance-left:9.00pt;mso-wrap-distance-top:0.00pt;mso-wrap-distance-right:9.00pt;mso-wrap-distance-bottom:0.00pt;visibility:visible;" fillcolor="#FED100"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margin">
                <wp:posOffset>-433070</wp:posOffset>
              </wp:positionH>
              <wp:positionV relativeFrom="paragraph">
                <wp:posOffset>-981710</wp:posOffset>
              </wp:positionV>
              <wp:extent cx="3063875" cy="581025"/>
              <wp:effectExtent l="0" t="0" r="0" b="0"/>
              <wp:wrapNone/>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71552;o:allowoverlap:true;o:allowincell:true;mso-position-horizontal-relative:margin;margin-left:-34.10pt;mso-position-horizontal:absolute;mso-position-vertical-relative:text;margin-top:-77.30pt;mso-position-vertical:absolute;width:241.25pt;height:45.75pt;mso-wrap-distance-left:9.00pt;mso-wrap-distance-top:0.00pt;mso-wrap-distance-right:9.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B5EE5"/>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E4B676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ECE00E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
    <w:nsid w:val="1F70563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2C55006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
    <w:nsid w:val="2F9A695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6">
    <w:nsid w:val="32CD176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
    <w:nsid w:val="3ACB3F54"/>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8">
    <w:nsid w:val="454476A6"/>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9">
    <w:nsid w:val="4AD348B9"/>
    <w:lvl w:ilvl="0">
      <w:isLgl w:val="false"/>
      <w:lvlJc w:val="left"/>
      <w:lvlText w:val="%1"/>
      <w:numFmt w:val="decimal"/>
      <w:pPr>
        <w:pBdr/>
        <w:spacing/>
        <w:ind w:hanging="360" w:left="720"/>
      </w:pPr>
      <w:rPr>
        <w:rFonts w:hint="default"/>
      </w:rPr>
      <w:start w:val="3"/>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4DA921E5"/>
    <w:lvl w:ilvl="0">
      <w:isLgl w:val="false"/>
      <w:lvlJc w:val="left"/>
      <w:lvlText w:val="-"/>
      <w:numFmt w:val="bullet"/>
      <w:pPr>
        <w:pBdr/>
        <w:spacing/>
        <w:ind w:hanging="360" w:left="720"/>
      </w:pPr>
      <w:rPr>
        <w:rFonts w:ascii="Liberation Sans" w:hAnsi="Liberation Sans" w:eastAsia="Liberation Sans" w:cs="Liberation Sans"/>
      </w:rPr>
      <w:start w:val="3"/>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1">
    <w:nsid w:val="54AC1F50"/>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55D22E4E"/>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5AB351C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5D7818F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62162EA0"/>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6">
    <w:nsid w:val="654B2D0B"/>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nsid w:val="6EFE5668"/>
    <w:lvl w:ilvl="0">
      <w:isLgl w:val="false"/>
      <w:lvlJc w:val="left"/>
      <w:lvlText w:val="●"/>
      <w:numFmt w:val="bullet"/>
      <w:pPr>
        <w:pBdr/>
        <w:spacing/>
        <w:ind w:hanging="360" w:left="720"/>
      </w:pPr>
      <w:rPr>
        <w:rFonts w:ascii="Noto Sans Symbols" w:hAnsi="Noto Sans Symbols" w:eastAsia="Noto Sans Symbols" w:cs="Noto Sans Symbols"/>
      </w:rPr>
      <w:start w:val="1"/>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8">
    <w:nsid w:val="6F085B1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75713BAF"/>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20">
    <w:nsid w:val="75AB63C6"/>
    <w:lvl w:ilvl="0">
      <w:isLgl w:val="false"/>
      <w:lvlJc w:val="left"/>
      <w:lvlText w:val="%1"/>
      <w:numFmt w:val="decimal"/>
      <w:pPr>
        <w:pBdr/>
        <w:spacing/>
        <w:ind w:hanging="360" w:left="720"/>
      </w:pPr>
      <w:rPr>
        <w:rFonts w:hint="default"/>
      </w:rPr>
      <w:start w:val="3"/>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79B27997"/>
    <w:lvl w:ilvl="0">
      <w:isLgl w:val="false"/>
      <w:lvlJc w:val="left"/>
      <w:lvlText w:val="&quot;●&quot;"/>
      <w:numFmt w:val="bullet"/>
      <w:pPr>
        <w:pBdr/>
        <w:spacing/>
        <w:ind w:hanging="360" w:left="720"/>
      </w:pPr>
      <w:rPr>
        <w:rFonts w:hint="default" w:ascii="Symbol" w:hAnsi="Symbol" w:eastAsia="Symbol" w:cs="Symbol"/>
      </w:rPr>
      <w:start w:val="1"/>
      <w:suff w:val="tab"/>
    </w:lvl>
    <w:lvl w:ilvl="1">
      <w:isLgl w:val="false"/>
      <w:lvlJc w:val="left"/>
      <w:lvlText w:val="&quot;o&quot;"/>
      <w:numFmt w:val="bullet"/>
      <w:pPr>
        <w:pBdr/>
        <w:spacing/>
        <w:ind w:hanging="360" w:left="1440"/>
      </w:pPr>
      <w:rPr>
        <w:rFonts w:hint="default" w:ascii="Courier New" w:hAnsi="Courier New" w:eastAsia="Courier New" w:cs="Courier New"/>
      </w:rPr>
      <w:start w:val="1"/>
      <w:suff w:val="tab"/>
    </w:lvl>
    <w:lvl w:ilvl="2">
      <w:isLgl w:val="false"/>
      <w:lvlJc w:val="left"/>
      <w:lvlText w:val="&quot;▪&quot;"/>
      <w:numFmt w:val="bullet"/>
      <w:pPr>
        <w:pBdr/>
        <w:spacing/>
        <w:ind w:hanging="360" w:left="2160"/>
      </w:pPr>
      <w:rPr>
        <w:rFonts w:hint="default" w:ascii="Symbol" w:hAnsi="Symbol" w:eastAsia="Symbol" w:cs="Symbol"/>
      </w:rPr>
      <w:start w:val="1"/>
      <w:suff w:val="tab"/>
    </w:lvl>
    <w:lvl w:ilvl="3">
      <w:isLgl w:val="false"/>
      <w:lvlJc w:val="left"/>
      <w:lvlText w:val="&quot;●&quot;"/>
      <w:numFmt w:val="bullet"/>
      <w:pPr>
        <w:pBdr/>
        <w:spacing/>
        <w:ind w:hanging="360" w:left="2880"/>
      </w:pPr>
      <w:rPr>
        <w:rFonts w:hint="default" w:ascii="Symbol" w:hAnsi="Symbol" w:eastAsia="Symbol" w:cs="Symbol"/>
      </w:rPr>
      <w:start w:val="1"/>
      <w:suff w:val="tab"/>
    </w:lvl>
    <w:lvl w:ilvl="4">
      <w:isLgl w:val="false"/>
      <w:lvlJc w:val="left"/>
      <w:lvlText w:val="&quot;o&quot;"/>
      <w:numFmt w:val="bullet"/>
      <w:pPr>
        <w:pBdr/>
        <w:spacing/>
        <w:ind w:hanging="360" w:left="3600"/>
      </w:pPr>
      <w:rPr>
        <w:rFonts w:hint="default" w:ascii="Courier New" w:hAnsi="Courier New" w:eastAsia="Courier New" w:cs="Courier New"/>
      </w:rPr>
      <w:start w:val="1"/>
      <w:suff w:val="tab"/>
    </w:lvl>
    <w:lvl w:ilvl="5">
      <w:isLgl w:val="false"/>
      <w:lvlJc w:val="left"/>
      <w:lvlText w:val="&quot;▪&quot;"/>
      <w:numFmt w:val="bullet"/>
      <w:pPr>
        <w:pBdr/>
        <w:spacing/>
        <w:ind w:hanging="360" w:left="4320"/>
      </w:pPr>
      <w:rPr>
        <w:rFonts w:hint="default" w:ascii="Symbol" w:hAnsi="Symbol" w:eastAsia="Symbol" w:cs="Symbol"/>
      </w:rPr>
      <w:start w:val="1"/>
      <w:suff w:val="tab"/>
    </w:lvl>
    <w:lvl w:ilvl="6">
      <w:isLgl w:val="false"/>
      <w:lvlJc w:val="left"/>
      <w:lvlText w:val="&quot;●&quot;"/>
      <w:numFmt w:val="bullet"/>
      <w:pPr>
        <w:pBdr/>
        <w:spacing/>
        <w:ind w:hanging="360" w:left="5040"/>
      </w:pPr>
      <w:rPr>
        <w:rFonts w:hint="default" w:ascii="Symbol" w:hAnsi="Symbol" w:eastAsia="Symbol" w:cs="Symbol"/>
      </w:rPr>
      <w:start w:val="1"/>
      <w:suff w:val="tab"/>
    </w:lvl>
    <w:lvl w:ilvl="7">
      <w:isLgl w:val="false"/>
      <w:lvlJc w:val="left"/>
      <w:lvlText w:val="&quot;o&quot;"/>
      <w:numFmt w:val="bullet"/>
      <w:pPr>
        <w:pBdr/>
        <w:spacing/>
        <w:ind w:hanging="360" w:left="5760"/>
      </w:pPr>
      <w:rPr>
        <w:rFonts w:hint="default" w:ascii="Courier New" w:hAnsi="Courier New" w:eastAsia="Courier New" w:cs="Courier New"/>
      </w:rPr>
      <w:start w:val="1"/>
      <w:suff w:val="tab"/>
    </w:lvl>
    <w:lvl w:ilvl="8">
      <w:isLgl w:val="false"/>
      <w:lvlJc w:val="left"/>
      <w:lvlText w:val="&quot;▪&quot;"/>
      <w:numFmt w:val="bullet"/>
      <w:pPr>
        <w:pBdr/>
        <w:spacing/>
        <w:ind w:hanging="360" w:left="6480"/>
      </w:pPr>
      <w:rPr>
        <w:rFonts w:hint="default" w:ascii="Symbol" w:hAnsi="Symbol" w:eastAsia="Symbol" w:cs="Symbol"/>
      </w:rPr>
      <w:start w:val="1"/>
      <w:suff w:val="tab"/>
    </w:lvl>
  </w:abstractNum>
  <w:num w:numId="1">
    <w:abstractNumId w:val="7"/>
  </w:num>
  <w:num w:numId="2">
    <w:abstractNumId w:val="15"/>
  </w:num>
  <w:num w:numId="3">
    <w:abstractNumId w:val="8"/>
  </w:num>
  <w:num w:numId="4">
    <w:abstractNumId w:val="17"/>
  </w:num>
  <w:num w:numId="5">
    <w:abstractNumId w:val="19"/>
  </w:num>
  <w:num w:numId="6">
    <w:abstractNumId w:val="10"/>
  </w:num>
  <w:num w:numId="7">
    <w:abstractNumId w:val="2"/>
  </w:num>
  <w:num w:numId="8">
    <w:abstractNumId w:val="6"/>
  </w:num>
  <w:num w:numId="9">
    <w:abstractNumId w:val="4"/>
  </w:num>
  <w:num w:numId="10">
    <w:abstractNumId w:val="3"/>
  </w:num>
  <w:num w:numId="11">
    <w:abstractNumId w:val="5"/>
  </w:num>
  <w:num w:numId="12">
    <w:abstractNumId w:val="21"/>
  </w:num>
  <w:num w:numId="13">
    <w:abstractNumId w:val="12"/>
  </w:num>
  <w:num w:numId="14">
    <w:abstractNumId w:val="13"/>
  </w:num>
  <w:num w:numId="15">
    <w:abstractNumId w:val="14"/>
  </w:num>
  <w:num w:numId="16">
    <w:abstractNumId w:val="16"/>
  </w:num>
  <w:num w:numId="17">
    <w:abstractNumId w:val="20"/>
  </w:num>
  <w:num w:numId="18">
    <w:abstractNumId w:val="9"/>
  </w:num>
  <w:num w:numId="19">
    <w:abstractNumId w:val="0"/>
  </w:num>
  <w:num w:numId="20">
    <w:abstractNumId w:val="1"/>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Calibri" w:asciiTheme="minorHAnsi" w:hAnsi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13">
    <w:name w:val="Intense Emphasis"/>
    <w:basedOn w:val="931"/>
    <w:uiPriority w:val="21"/>
    <w:qFormat/>
    <w:pPr>
      <w:pBdr/>
      <w:spacing/>
      <w:ind/>
    </w:pPr>
    <w:rPr>
      <w:i/>
      <w:iCs/>
      <w:color w:val="0f4761" w:themeColor="accent1" w:themeShade="BF"/>
    </w:rPr>
  </w:style>
  <w:style w:type="character" w:styleId="914">
    <w:name w:val="Intense Reference"/>
    <w:basedOn w:val="931"/>
    <w:uiPriority w:val="32"/>
    <w:qFormat/>
    <w:pPr>
      <w:pBdr/>
      <w:spacing/>
      <w:ind/>
    </w:pPr>
    <w:rPr>
      <w:b/>
      <w:bCs/>
      <w:smallCaps/>
      <w:color w:val="0f4761" w:themeColor="accent1" w:themeShade="BF"/>
      <w:spacing w:val="5"/>
    </w:rPr>
  </w:style>
  <w:style w:type="character" w:styleId="915">
    <w:name w:val="Subtle Emphasis"/>
    <w:basedOn w:val="931"/>
    <w:uiPriority w:val="19"/>
    <w:qFormat/>
    <w:pPr>
      <w:pBdr/>
      <w:spacing/>
      <w:ind/>
    </w:pPr>
    <w:rPr>
      <w:i/>
      <w:iCs/>
      <w:color w:val="404040" w:themeColor="text1" w:themeTint="BF"/>
    </w:rPr>
  </w:style>
  <w:style w:type="character" w:styleId="916">
    <w:name w:val="Strong"/>
    <w:basedOn w:val="931"/>
    <w:uiPriority w:val="22"/>
    <w:qFormat/>
    <w:pPr>
      <w:pBdr/>
      <w:spacing/>
      <w:ind/>
    </w:pPr>
    <w:rPr>
      <w:b/>
      <w:bCs/>
    </w:rPr>
  </w:style>
  <w:style w:type="character" w:styleId="917">
    <w:name w:val="Subtle Reference"/>
    <w:basedOn w:val="931"/>
    <w:uiPriority w:val="31"/>
    <w:qFormat/>
    <w:pPr>
      <w:pBdr/>
      <w:spacing/>
      <w:ind/>
    </w:pPr>
    <w:rPr>
      <w:smallCaps/>
      <w:color w:val="5a5a5a" w:themeColor="text1" w:themeTint="A5"/>
    </w:rPr>
  </w:style>
  <w:style w:type="character" w:styleId="918">
    <w:name w:val="Book Title"/>
    <w:basedOn w:val="931"/>
    <w:uiPriority w:val="33"/>
    <w:qFormat/>
    <w:pPr>
      <w:pBdr/>
      <w:spacing/>
      <w:ind/>
    </w:pPr>
    <w:rPr>
      <w:b/>
      <w:bCs/>
      <w:i/>
      <w:iCs/>
      <w:spacing w:val="5"/>
    </w:rPr>
  </w:style>
  <w:style w:type="character" w:styleId="919">
    <w:name w:val="FollowedHyperlink"/>
    <w:basedOn w:val="931"/>
    <w:uiPriority w:val="99"/>
    <w:semiHidden/>
    <w:unhideWhenUsed/>
    <w:pPr>
      <w:pBdr/>
      <w:spacing/>
      <w:ind/>
    </w:pPr>
    <w:rPr>
      <w:color w:val="954f72" w:themeColor="followedHyperlink"/>
      <w:u w:val="single"/>
    </w:rPr>
  </w:style>
  <w:style w:type="character" w:styleId="920">
    <w:name w:val="Placeholder Text"/>
    <w:basedOn w:val="931"/>
    <w:uiPriority w:val="99"/>
    <w:semiHidden/>
    <w:pPr>
      <w:pBdr/>
      <w:spacing/>
      <w:ind/>
    </w:pPr>
    <w:rPr>
      <w:color w:val="666666"/>
    </w:rPr>
  </w:style>
  <w:style w:type="paragraph" w:styleId="921" w:default="1">
    <w:name w:val="Normal"/>
    <w:qFormat/>
    <w:pPr>
      <w:pBdr/>
      <w:spacing w:after="0" w:line="240" w:lineRule="auto"/>
      <w:ind/>
    </w:pPr>
    <w:rPr>
      <w:rFonts w:ascii="Times New Roman" w:hAnsi="Times New Roman" w:eastAsia="Times New Roman" w:cs="Times New Roman"/>
      <w:sz w:val="24"/>
      <w:szCs w:val="24"/>
      <w:lang w:eastAsia="fr-FR"/>
    </w:rPr>
  </w:style>
  <w:style w:type="paragraph" w:styleId="922">
    <w:name w:val="Heading 1"/>
    <w:basedOn w:val="921"/>
    <w:next w:val="921"/>
    <w:link w:val="947"/>
    <w:uiPriority w:val="9"/>
    <w:qFormat/>
    <w:pPr>
      <w:keepNext w:val="true"/>
      <w:keepLines w:val="true"/>
      <w:pBdr/>
      <w:spacing w:after="200" w:before="480"/>
      <w:ind/>
      <w:outlineLvl w:val="0"/>
    </w:pPr>
    <w:rPr>
      <w:rFonts w:ascii="Arial" w:hAnsi="Arial" w:eastAsia="Arial" w:cs="Arial"/>
      <w:sz w:val="40"/>
      <w:szCs w:val="40"/>
    </w:rPr>
  </w:style>
  <w:style w:type="paragraph" w:styleId="923">
    <w:name w:val="Heading 2"/>
    <w:basedOn w:val="921"/>
    <w:next w:val="921"/>
    <w:link w:val="1119"/>
    <w:pPr>
      <w:keepNext w:val="true"/>
      <w:pBdr/>
      <w:spacing w:after="283"/>
      <w:ind w:hanging="576" w:left="576"/>
      <w:jc w:val="center"/>
      <w:outlineLvl w:val="1"/>
    </w:pPr>
    <w:rPr>
      <w:rFonts w:ascii="Liberation Sans" w:hAnsi="Liberation Sans" w:eastAsia="Liberation Sans" w:cs="Liberation Sans"/>
      <w:b/>
      <w:i/>
      <w:color w:val="ff8d00"/>
    </w:rPr>
  </w:style>
  <w:style w:type="paragraph" w:styleId="924">
    <w:name w:val="Heading 3"/>
    <w:basedOn w:val="921"/>
    <w:next w:val="921"/>
    <w:link w:val="949"/>
    <w:uiPriority w:val="9"/>
    <w:unhideWhenUsed/>
    <w:qFormat/>
    <w:pPr>
      <w:keepNext w:val="true"/>
      <w:keepLines w:val="true"/>
      <w:pBdr/>
      <w:spacing w:after="200" w:before="320"/>
      <w:ind/>
      <w:outlineLvl w:val="2"/>
    </w:pPr>
    <w:rPr>
      <w:rFonts w:ascii="Arial" w:hAnsi="Arial" w:eastAsia="Arial" w:cs="Arial"/>
      <w:sz w:val="30"/>
      <w:szCs w:val="30"/>
    </w:rPr>
  </w:style>
  <w:style w:type="paragraph" w:styleId="925">
    <w:name w:val="Heading 4"/>
    <w:basedOn w:val="921"/>
    <w:next w:val="921"/>
    <w:link w:val="950"/>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926">
    <w:name w:val="Heading 5"/>
    <w:basedOn w:val="921"/>
    <w:next w:val="921"/>
    <w:link w:val="951"/>
    <w:uiPriority w:val="9"/>
    <w:unhideWhenUsed/>
    <w:qFormat/>
    <w:pPr>
      <w:keepNext w:val="true"/>
      <w:keepLines w:val="true"/>
      <w:pBdr/>
      <w:spacing w:after="200" w:before="320"/>
      <w:ind/>
      <w:outlineLvl w:val="4"/>
    </w:pPr>
    <w:rPr>
      <w:rFonts w:ascii="Arial" w:hAnsi="Arial" w:eastAsia="Arial" w:cs="Arial"/>
      <w:b/>
      <w:bCs/>
    </w:rPr>
  </w:style>
  <w:style w:type="paragraph" w:styleId="927">
    <w:name w:val="Heading 6"/>
    <w:basedOn w:val="921"/>
    <w:next w:val="921"/>
    <w:link w:val="952"/>
    <w:uiPriority w:val="9"/>
    <w:unhideWhenUsed/>
    <w:qFormat/>
    <w:pPr>
      <w:keepNext w:val="true"/>
      <w:keepLines w:val="true"/>
      <w:pBdr/>
      <w:spacing w:after="200" w:before="320"/>
      <w:ind/>
      <w:outlineLvl w:val="5"/>
    </w:pPr>
    <w:rPr>
      <w:rFonts w:ascii="Arial" w:hAnsi="Arial" w:eastAsia="Arial" w:cs="Arial"/>
      <w:b/>
      <w:bCs/>
    </w:rPr>
  </w:style>
  <w:style w:type="paragraph" w:styleId="928">
    <w:name w:val="Heading 7"/>
    <w:basedOn w:val="921"/>
    <w:next w:val="921"/>
    <w:link w:val="953"/>
    <w:uiPriority w:val="9"/>
    <w:unhideWhenUsed/>
    <w:qFormat/>
    <w:pPr>
      <w:keepNext w:val="true"/>
      <w:keepLines w:val="true"/>
      <w:pBdr/>
      <w:spacing w:after="200" w:before="320"/>
      <w:ind/>
      <w:outlineLvl w:val="6"/>
    </w:pPr>
    <w:rPr>
      <w:rFonts w:ascii="Arial" w:hAnsi="Arial" w:eastAsia="Arial" w:cs="Arial"/>
      <w:b/>
      <w:bCs/>
      <w:i/>
      <w:iCs/>
    </w:rPr>
  </w:style>
  <w:style w:type="paragraph" w:styleId="929">
    <w:name w:val="Heading 8"/>
    <w:basedOn w:val="921"/>
    <w:next w:val="921"/>
    <w:link w:val="954"/>
    <w:uiPriority w:val="9"/>
    <w:unhideWhenUsed/>
    <w:qFormat/>
    <w:pPr>
      <w:keepNext w:val="true"/>
      <w:keepLines w:val="true"/>
      <w:pBdr/>
      <w:spacing w:after="200" w:before="320"/>
      <w:ind/>
      <w:outlineLvl w:val="7"/>
    </w:pPr>
    <w:rPr>
      <w:rFonts w:ascii="Arial" w:hAnsi="Arial" w:eastAsia="Arial" w:cs="Arial"/>
      <w:i/>
      <w:iCs/>
    </w:rPr>
  </w:style>
  <w:style w:type="paragraph" w:styleId="930">
    <w:name w:val="Heading 9"/>
    <w:basedOn w:val="921"/>
    <w:next w:val="921"/>
    <w:link w:val="955"/>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931" w:default="1">
    <w:name w:val="Default Paragraph Font"/>
    <w:uiPriority w:val="1"/>
    <w:semiHidden/>
    <w:unhideWhenUsed/>
    <w:pPr>
      <w:pBdr/>
      <w:spacing/>
      <w:ind/>
    </w:pPr>
  </w:style>
  <w:style w:type="table" w:styleId="9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3" w:default="1">
    <w:name w:val="No List"/>
    <w:uiPriority w:val="99"/>
    <w:semiHidden/>
    <w:unhideWhenUsed/>
    <w:pPr>
      <w:pBdr/>
      <w:spacing/>
      <w:ind/>
    </w:pPr>
  </w:style>
  <w:style w:type="character" w:styleId="934" w:customStyle="1">
    <w:name w:val="Heading 1 Char"/>
    <w:basedOn w:val="931"/>
    <w:uiPriority w:val="9"/>
    <w:pPr>
      <w:pBdr/>
      <w:spacing/>
      <w:ind/>
    </w:pPr>
    <w:rPr>
      <w:rFonts w:ascii="Arial" w:hAnsi="Arial" w:eastAsia="Arial" w:cs="Arial"/>
      <w:sz w:val="40"/>
      <w:szCs w:val="40"/>
    </w:rPr>
  </w:style>
  <w:style w:type="character" w:styleId="935" w:customStyle="1">
    <w:name w:val="Heading 3 Char"/>
    <w:basedOn w:val="931"/>
    <w:uiPriority w:val="9"/>
    <w:pPr>
      <w:pBdr/>
      <w:spacing/>
      <w:ind/>
    </w:pPr>
    <w:rPr>
      <w:rFonts w:ascii="Arial" w:hAnsi="Arial" w:eastAsia="Arial" w:cs="Arial"/>
      <w:sz w:val="30"/>
      <w:szCs w:val="30"/>
    </w:rPr>
  </w:style>
  <w:style w:type="character" w:styleId="936" w:customStyle="1">
    <w:name w:val="Heading 4 Char"/>
    <w:basedOn w:val="931"/>
    <w:uiPriority w:val="9"/>
    <w:pPr>
      <w:pBdr/>
      <w:spacing/>
      <w:ind/>
    </w:pPr>
    <w:rPr>
      <w:rFonts w:ascii="Arial" w:hAnsi="Arial" w:eastAsia="Arial" w:cs="Arial"/>
      <w:b/>
      <w:bCs/>
      <w:sz w:val="26"/>
      <w:szCs w:val="26"/>
    </w:rPr>
  </w:style>
  <w:style w:type="character" w:styleId="937" w:customStyle="1">
    <w:name w:val="Heading 5 Char"/>
    <w:basedOn w:val="931"/>
    <w:uiPriority w:val="9"/>
    <w:pPr>
      <w:pBdr/>
      <w:spacing/>
      <w:ind/>
    </w:pPr>
    <w:rPr>
      <w:rFonts w:ascii="Arial" w:hAnsi="Arial" w:eastAsia="Arial" w:cs="Arial"/>
      <w:b/>
      <w:bCs/>
      <w:sz w:val="24"/>
      <w:szCs w:val="24"/>
    </w:rPr>
  </w:style>
  <w:style w:type="character" w:styleId="938" w:customStyle="1">
    <w:name w:val="Heading 6 Char"/>
    <w:basedOn w:val="931"/>
    <w:uiPriority w:val="9"/>
    <w:pPr>
      <w:pBdr/>
      <w:spacing/>
      <w:ind/>
    </w:pPr>
    <w:rPr>
      <w:rFonts w:ascii="Arial" w:hAnsi="Arial" w:eastAsia="Arial" w:cs="Arial"/>
      <w:b/>
      <w:bCs/>
      <w:sz w:val="22"/>
      <w:szCs w:val="22"/>
    </w:rPr>
  </w:style>
  <w:style w:type="character" w:styleId="939" w:customStyle="1">
    <w:name w:val="Heading 7 Char"/>
    <w:basedOn w:val="931"/>
    <w:uiPriority w:val="9"/>
    <w:pPr>
      <w:pBdr/>
      <w:spacing/>
      <w:ind/>
    </w:pPr>
    <w:rPr>
      <w:rFonts w:ascii="Arial" w:hAnsi="Arial" w:eastAsia="Arial" w:cs="Arial"/>
      <w:b/>
      <w:bCs/>
      <w:i/>
      <w:iCs/>
      <w:sz w:val="22"/>
      <w:szCs w:val="22"/>
    </w:rPr>
  </w:style>
  <w:style w:type="character" w:styleId="940" w:customStyle="1">
    <w:name w:val="Heading 8 Char"/>
    <w:basedOn w:val="931"/>
    <w:uiPriority w:val="9"/>
    <w:pPr>
      <w:pBdr/>
      <w:spacing/>
      <w:ind/>
    </w:pPr>
    <w:rPr>
      <w:rFonts w:ascii="Arial" w:hAnsi="Arial" w:eastAsia="Arial" w:cs="Arial"/>
      <w:i/>
      <w:iCs/>
      <w:sz w:val="22"/>
      <w:szCs w:val="22"/>
    </w:rPr>
  </w:style>
  <w:style w:type="character" w:styleId="941" w:customStyle="1">
    <w:name w:val="Heading 9 Char"/>
    <w:basedOn w:val="931"/>
    <w:uiPriority w:val="9"/>
    <w:pPr>
      <w:pBdr/>
      <w:spacing/>
      <w:ind/>
    </w:pPr>
    <w:rPr>
      <w:rFonts w:ascii="Arial" w:hAnsi="Arial" w:eastAsia="Arial" w:cs="Arial"/>
      <w:i/>
      <w:iCs/>
      <w:sz w:val="21"/>
      <w:szCs w:val="21"/>
    </w:rPr>
  </w:style>
  <w:style w:type="character" w:styleId="942" w:customStyle="1">
    <w:name w:val="Title Char"/>
    <w:basedOn w:val="931"/>
    <w:uiPriority w:val="10"/>
    <w:pPr>
      <w:pBdr/>
      <w:spacing/>
      <w:ind/>
    </w:pPr>
    <w:rPr>
      <w:sz w:val="48"/>
      <w:szCs w:val="48"/>
    </w:rPr>
  </w:style>
  <w:style w:type="character" w:styleId="943" w:customStyle="1">
    <w:name w:val="Quote Char"/>
    <w:uiPriority w:val="29"/>
    <w:pPr>
      <w:pBdr/>
      <w:spacing/>
      <w:ind/>
    </w:pPr>
    <w:rPr>
      <w:i/>
    </w:rPr>
  </w:style>
  <w:style w:type="character" w:styleId="944" w:customStyle="1">
    <w:name w:val="Intense Quote Char"/>
    <w:uiPriority w:val="30"/>
    <w:pPr>
      <w:pBdr/>
      <w:spacing/>
      <w:ind/>
    </w:pPr>
    <w:rPr>
      <w:i/>
    </w:rPr>
  </w:style>
  <w:style w:type="character" w:styleId="945" w:customStyle="1">
    <w:name w:val="Footnote Text Char"/>
    <w:uiPriority w:val="99"/>
    <w:pPr>
      <w:pBdr/>
      <w:spacing/>
      <w:ind/>
    </w:pPr>
    <w:rPr>
      <w:sz w:val="18"/>
    </w:rPr>
  </w:style>
  <w:style w:type="character" w:styleId="946" w:customStyle="1">
    <w:name w:val="Endnote Text Char"/>
    <w:uiPriority w:val="99"/>
    <w:pPr>
      <w:pBdr/>
      <w:spacing/>
      <w:ind/>
    </w:pPr>
    <w:rPr>
      <w:sz w:val="20"/>
    </w:rPr>
  </w:style>
  <w:style w:type="character" w:styleId="947" w:customStyle="1">
    <w:name w:val="Titre 1 Car"/>
    <w:basedOn w:val="931"/>
    <w:link w:val="922"/>
    <w:uiPriority w:val="9"/>
    <w:pPr>
      <w:pBdr/>
      <w:spacing/>
      <w:ind/>
    </w:pPr>
    <w:rPr>
      <w:rFonts w:ascii="Arial" w:hAnsi="Arial" w:eastAsia="Arial" w:cs="Arial"/>
      <w:sz w:val="40"/>
      <w:szCs w:val="40"/>
    </w:rPr>
  </w:style>
  <w:style w:type="character" w:styleId="948" w:customStyle="1">
    <w:name w:val="Heading 2 Char"/>
    <w:basedOn w:val="931"/>
    <w:uiPriority w:val="9"/>
    <w:pPr>
      <w:pBdr/>
      <w:spacing/>
      <w:ind/>
    </w:pPr>
    <w:rPr>
      <w:rFonts w:ascii="Arial" w:hAnsi="Arial" w:eastAsia="Arial" w:cs="Arial"/>
      <w:sz w:val="34"/>
    </w:rPr>
  </w:style>
  <w:style w:type="character" w:styleId="949" w:customStyle="1">
    <w:name w:val="Titre 3 Car"/>
    <w:basedOn w:val="931"/>
    <w:link w:val="924"/>
    <w:uiPriority w:val="9"/>
    <w:pPr>
      <w:pBdr/>
      <w:spacing/>
      <w:ind/>
    </w:pPr>
    <w:rPr>
      <w:rFonts w:ascii="Arial" w:hAnsi="Arial" w:eastAsia="Arial" w:cs="Arial"/>
      <w:sz w:val="30"/>
      <w:szCs w:val="30"/>
    </w:rPr>
  </w:style>
  <w:style w:type="character" w:styleId="950" w:customStyle="1">
    <w:name w:val="Titre 4 Car"/>
    <w:basedOn w:val="931"/>
    <w:link w:val="925"/>
    <w:uiPriority w:val="9"/>
    <w:pPr>
      <w:pBdr/>
      <w:spacing/>
      <w:ind/>
    </w:pPr>
    <w:rPr>
      <w:rFonts w:ascii="Arial" w:hAnsi="Arial" w:eastAsia="Arial" w:cs="Arial"/>
      <w:b/>
      <w:bCs/>
      <w:sz w:val="26"/>
      <w:szCs w:val="26"/>
    </w:rPr>
  </w:style>
  <w:style w:type="character" w:styleId="951" w:customStyle="1">
    <w:name w:val="Titre 5 Car"/>
    <w:basedOn w:val="931"/>
    <w:link w:val="926"/>
    <w:uiPriority w:val="9"/>
    <w:pPr>
      <w:pBdr/>
      <w:spacing/>
      <w:ind/>
    </w:pPr>
    <w:rPr>
      <w:rFonts w:ascii="Arial" w:hAnsi="Arial" w:eastAsia="Arial" w:cs="Arial"/>
      <w:b/>
      <w:bCs/>
      <w:sz w:val="24"/>
      <w:szCs w:val="24"/>
    </w:rPr>
  </w:style>
  <w:style w:type="character" w:styleId="952" w:customStyle="1">
    <w:name w:val="Titre 6 Car"/>
    <w:basedOn w:val="931"/>
    <w:link w:val="927"/>
    <w:uiPriority w:val="9"/>
    <w:pPr>
      <w:pBdr/>
      <w:spacing/>
      <w:ind/>
    </w:pPr>
    <w:rPr>
      <w:rFonts w:ascii="Arial" w:hAnsi="Arial" w:eastAsia="Arial" w:cs="Arial"/>
      <w:b/>
      <w:bCs/>
      <w:sz w:val="22"/>
      <w:szCs w:val="22"/>
    </w:rPr>
  </w:style>
  <w:style w:type="character" w:styleId="953" w:customStyle="1">
    <w:name w:val="Titre 7 Car"/>
    <w:basedOn w:val="931"/>
    <w:link w:val="928"/>
    <w:uiPriority w:val="9"/>
    <w:pPr>
      <w:pBdr/>
      <w:spacing/>
      <w:ind/>
    </w:pPr>
    <w:rPr>
      <w:rFonts w:ascii="Arial" w:hAnsi="Arial" w:eastAsia="Arial" w:cs="Arial"/>
      <w:b/>
      <w:bCs/>
      <w:i/>
      <w:iCs/>
      <w:sz w:val="22"/>
      <w:szCs w:val="22"/>
    </w:rPr>
  </w:style>
  <w:style w:type="character" w:styleId="954" w:customStyle="1">
    <w:name w:val="Titre 8 Car"/>
    <w:basedOn w:val="931"/>
    <w:link w:val="929"/>
    <w:uiPriority w:val="9"/>
    <w:pPr>
      <w:pBdr/>
      <w:spacing/>
      <w:ind/>
    </w:pPr>
    <w:rPr>
      <w:rFonts w:ascii="Arial" w:hAnsi="Arial" w:eastAsia="Arial" w:cs="Arial"/>
      <w:i/>
      <w:iCs/>
      <w:sz w:val="22"/>
      <w:szCs w:val="22"/>
    </w:rPr>
  </w:style>
  <w:style w:type="character" w:styleId="955" w:customStyle="1">
    <w:name w:val="Titre 9 Car"/>
    <w:basedOn w:val="931"/>
    <w:link w:val="930"/>
    <w:uiPriority w:val="9"/>
    <w:pPr>
      <w:pBdr/>
      <w:spacing/>
      <w:ind/>
    </w:pPr>
    <w:rPr>
      <w:rFonts w:ascii="Arial" w:hAnsi="Arial" w:eastAsia="Arial" w:cs="Arial"/>
      <w:i/>
      <w:iCs/>
      <w:sz w:val="21"/>
      <w:szCs w:val="21"/>
    </w:rPr>
  </w:style>
  <w:style w:type="paragraph" w:styleId="956">
    <w:name w:val="List Paragraph"/>
    <w:basedOn w:val="921"/>
    <w:uiPriority w:val="34"/>
    <w:qFormat/>
    <w:pPr>
      <w:pBdr/>
      <w:spacing/>
      <w:ind w:left="720"/>
      <w:contextualSpacing w:val="true"/>
    </w:pPr>
  </w:style>
  <w:style w:type="paragraph" w:styleId="957">
    <w:name w:val="Title"/>
    <w:basedOn w:val="921"/>
    <w:next w:val="921"/>
    <w:link w:val="958"/>
    <w:uiPriority w:val="10"/>
    <w:qFormat/>
    <w:pPr>
      <w:pBdr/>
      <w:spacing w:after="200" w:before="300"/>
      <w:ind/>
      <w:contextualSpacing w:val="true"/>
    </w:pPr>
    <w:rPr>
      <w:sz w:val="48"/>
      <w:szCs w:val="48"/>
    </w:rPr>
  </w:style>
  <w:style w:type="character" w:styleId="958" w:customStyle="1">
    <w:name w:val="Titre Car"/>
    <w:basedOn w:val="931"/>
    <w:link w:val="957"/>
    <w:uiPriority w:val="10"/>
    <w:pPr>
      <w:pBdr/>
      <w:spacing/>
      <w:ind/>
    </w:pPr>
    <w:rPr>
      <w:sz w:val="48"/>
      <w:szCs w:val="48"/>
    </w:rPr>
  </w:style>
  <w:style w:type="character" w:styleId="959" w:customStyle="1">
    <w:name w:val="Subtitle Char"/>
    <w:basedOn w:val="931"/>
    <w:uiPriority w:val="11"/>
    <w:pPr>
      <w:pBdr/>
      <w:spacing/>
      <w:ind/>
    </w:pPr>
    <w:rPr>
      <w:sz w:val="24"/>
      <w:szCs w:val="24"/>
    </w:rPr>
  </w:style>
  <w:style w:type="paragraph" w:styleId="960">
    <w:name w:val="Quote"/>
    <w:basedOn w:val="921"/>
    <w:next w:val="921"/>
    <w:link w:val="961"/>
    <w:uiPriority w:val="29"/>
    <w:qFormat/>
    <w:pPr>
      <w:pBdr/>
      <w:spacing/>
      <w:ind w:right="720" w:left="720"/>
    </w:pPr>
    <w:rPr>
      <w:i/>
    </w:rPr>
  </w:style>
  <w:style w:type="character" w:styleId="961" w:customStyle="1">
    <w:name w:val="Citation Car"/>
    <w:link w:val="960"/>
    <w:uiPriority w:val="29"/>
    <w:pPr>
      <w:pBdr/>
      <w:spacing/>
      <w:ind/>
    </w:pPr>
    <w:rPr>
      <w:i/>
    </w:rPr>
  </w:style>
  <w:style w:type="paragraph" w:styleId="962">
    <w:name w:val="Intense Quote"/>
    <w:basedOn w:val="921"/>
    <w:next w:val="921"/>
    <w:link w:val="96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63" w:customStyle="1">
    <w:name w:val="Citation intense Car"/>
    <w:link w:val="962"/>
    <w:uiPriority w:val="30"/>
    <w:pPr>
      <w:pBdr/>
      <w:spacing/>
      <w:ind/>
    </w:pPr>
    <w:rPr>
      <w:i/>
    </w:rPr>
  </w:style>
  <w:style w:type="character" w:styleId="964" w:customStyle="1">
    <w:name w:val="Header Char"/>
    <w:basedOn w:val="931"/>
    <w:uiPriority w:val="99"/>
    <w:pPr>
      <w:pBdr/>
      <w:spacing/>
      <w:ind/>
    </w:pPr>
  </w:style>
  <w:style w:type="character" w:styleId="965" w:customStyle="1">
    <w:name w:val="Footer Char"/>
    <w:basedOn w:val="931"/>
    <w:uiPriority w:val="99"/>
    <w:pPr>
      <w:pBdr/>
      <w:spacing/>
      <w:ind/>
    </w:pPr>
  </w:style>
  <w:style w:type="paragraph" w:styleId="966">
    <w:name w:val="Caption"/>
    <w:basedOn w:val="921"/>
    <w:next w:val="921"/>
    <w:uiPriority w:val="35"/>
    <w:semiHidden/>
    <w:unhideWhenUsed/>
    <w:qFormat/>
    <w:pPr>
      <w:pBdr/>
      <w:spacing w:line="276" w:lineRule="auto"/>
      <w:ind/>
    </w:pPr>
    <w:rPr>
      <w:b/>
      <w:bCs/>
      <w:color w:val="4472c4" w:themeColor="accent1"/>
      <w:sz w:val="18"/>
      <w:szCs w:val="18"/>
    </w:rPr>
  </w:style>
  <w:style w:type="character" w:styleId="967" w:customStyle="1">
    <w:name w:val="Caption Char"/>
    <w:uiPriority w:val="99"/>
    <w:pPr>
      <w:pBdr/>
      <w:spacing/>
      <w:ind/>
    </w:pPr>
  </w:style>
  <w:style w:type="table" w:styleId="968">
    <w:name w:val="Table Grid"/>
    <w:basedOn w:val="9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Table Grid Light"/>
    <w:basedOn w:val="93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Plain Table 1"/>
    <w:basedOn w:val="93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Plain Table 2"/>
    <w:basedOn w:val="93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Plain Table 3"/>
    <w:basedOn w:val="93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Plain Table 4"/>
    <w:basedOn w:val="93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Plain Table 5"/>
    <w:basedOn w:val="93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Grid Table 1 Light"/>
    <w:basedOn w:val="93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1 Light - Accent 1"/>
    <w:basedOn w:val="93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1 Light - Accent 2"/>
    <w:basedOn w:val="93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Grid Table 1 Light - Accent 3"/>
    <w:basedOn w:val="93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Grid Table 1 Light - Accent 4"/>
    <w:basedOn w:val="93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1 Light - Accent 5"/>
    <w:basedOn w:val="93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1 Light - Accent 6"/>
    <w:basedOn w:val="93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Grid Table 2"/>
    <w:basedOn w:val="93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2 - Accent 1"/>
    <w:basedOn w:val="93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2 - Accent 2"/>
    <w:basedOn w:val="93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Grid Table 2 - Accent 3"/>
    <w:basedOn w:val="93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2 - Accent 4"/>
    <w:basedOn w:val="93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2 - Accent 5"/>
    <w:basedOn w:val="93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2 - Accent 6"/>
    <w:basedOn w:val="93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Grid Table 3"/>
    <w:basedOn w:val="93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3 - Accent 1"/>
    <w:basedOn w:val="93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3 - Accent 2"/>
    <w:basedOn w:val="93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3 - Accent 3"/>
    <w:basedOn w:val="93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3 - Accent 4"/>
    <w:basedOn w:val="93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3 - Accent 5"/>
    <w:basedOn w:val="93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3 - Accent 6"/>
    <w:basedOn w:val="93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Grid Table 4"/>
    <w:basedOn w:val="93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4 - Accent 1"/>
    <w:basedOn w:val="932"/>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4 - Accent 2"/>
    <w:basedOn w:val="93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Grid Table 4 - Accent 3"/>
    <w:basedOn w:val="93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Grid Table 4 - Accent 4"/>
    <w:basedOn w:val="93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Grid Table 4 - Accent 5"/>
    <w:basedOn w:val="932"/>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Grid Table 4 - Accent 6"/>
    <w:basedOn w:val="93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Grid Table 5 Dark"/>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Grid Table 5 Dark- Accent 1"/>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Grid Table 5 Dark - Accent 2"/>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Grid Table 5 Dark - Accent 3"/>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Grid Table 5 Dark- Accent 4"/>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Grid Table 5 Dark - Accent 5"/>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Grid Table 5 Dark - Accent 6"/>
    <w:basedOn w:val="93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Grid Table 6 Colorful"/>
    <w:basedOn w:val="93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Grid Table 6 Colorful - Accent 1"/>
    <w:basedOn w:val="932"/>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Grid Table 6 Colorful - Accent 2"/>
    <w:basedOn w:val="93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Grid Table 6 Colorful - Accent 3"/>
    <w:basedOn w:val="93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Grid Table 6 Colorful - Accent 4"/>
    <w:basedOn w:val="93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Grid Table 6 Colorful - Accent 5"/>
    <w:basedOn w:val="932"/>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Grid Table 6 Colorful - Accent 6"/>
    <w:basedOn w:val="93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Grid Table 7 Colorful"/>
    <w:basedOn w:val="93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Grid Table 7 Colorful - Accent 1"/>
    <w:basedOn w:val="932"/>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Grid Table 7 Colorful - Accent 2"/>
    <w:basedOn w:val="93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Grid Table 7 Colorful - Accent 3"/>
    <w:basedOn w:val="93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Grid Table 7 Colorful - Accent 4"/>
    <w:basedOn w:val="93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Grid Table 7 Colorful - Accent 5"/>
    <w:basedOn w:val="932"/>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Grid Table 7 Colorful - Accent 6"/>
    <w:basedOn w:val="93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st Table 1 Light"/>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1 Light - Accent 1"/>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1 Light - Accent 2"/>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List Table 1 Light - Accent 3"/>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List Table 1 Light - Accent 4"/>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1 Light - Accent 5"/>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1 Light - Accent 6"/>
    <w:basedOn w:val="93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List Table 2"/>
    <w:basedOn w:val="93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2 - Accent 1"/>
    <w:basedOn w:val="932"/>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2 - Accent 2"/>
    <w:basedOn w:val="93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List Table 2 - Accent 3"/>
    <w:basedOn w:val="93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2 - Accent 4"/>
    <w:basedOn w:val="93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2 - Accent 5"/>
    <w:basedOn w:val="932"/>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2 - Accent 6"/>
    <w:basedOn w:val="93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List Table 3"/>
    <w:basedOn w:val="93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3 - Accent 1"/>
    <w:basedOn w:val="932"/>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3 - Accent 2"/>
    <w:basedOn w:val="93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3 - Accent 3"/>
    <w:basedOn w:val="93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3 - Accent 4"/>
    <w:basedOn w:val="93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3 - Accent 5"/>
    <w:basedOn w:val="932"/>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3 - Accent 6"/>
    <w:basedOn w:val="93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name w:val="List Table 4"/>
    <w:basedOn w:val="93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4 - Accent 1"/>
    <w:basedOn w:val="932"/>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4 - Accent 2"/>
    <w:basedOn w:val="93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st Table 4 - Accent 3"/>
    <w:basedOn w:val="93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st Table 4 - Accent 4"/>
    <w:basedOn w:val="93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st Table 4 - Accent 5"/>
    <w:basedOn w:val="932"/>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st Table 4 - Accent 6"/>
    <w:basedOn w:val="93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name w:val="List Table 5 Dark"/>
    <w:basedOn w:val="93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st Table 5 Dark - Accent 1"/>
    <w:basedOn w:val="932"/>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st Table 5 Dark - Accent 2"/>
    <w:basedOn w:val="93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List Table 5 Dark - Accent 3"/>
    <w:basedOn w:val="93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List Table 5 Dark - Accent 4"/>
    <w:basedOn w:val="93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List Table 5 Dark - Accent 5"/>
    <w:basedOn w:val="932"/>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List Table 5 Dark - Accent 6"/>
    <w:basedOn w:val="93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name w:val="List Table 6 Colorful"/>
    <w:basedOn w:val="93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List Table 6 Colorful - Accent 1"/>
    <w:basedOn w:val="932"/>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List Table 6 Colorful - Accent 2"/>
    <w:basedOn w:val="93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List Table 6 Colorful - Accent 3"/>
    <w:basedOn w:val="93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List Table 6 Colorful - Accent 4"/>
    <w:basedOn w:val="93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List Table 6 Colorful - Accent 5"/>
    <w:basedOn w:val="932"/>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List Table 6 Colorful - Accent 6"/>
    <w:basedOn w:val="93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name w:val="List Table 7 Colorful"/>
    <w:basedOn w:val="93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List Table 7 Colorful - Accent 1"/>
    <w:basedOn w:val="932"/>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List Table 7 Colorful - Accent 2"/>
    <w:basedOn w:val="93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List Table 7 Colorful - Accent 3"/>
    <w:basedOn w:val="93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List Table 7 Colorful - Accent 4"/>
    <w:basedOn w:val="93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List Table 7 Colorful - Accent 5"/>
    <w:basedOn w:val="932"/>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List Table 7 Colorful - Accent 6"/>
    <w:basedOn w:val="93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Lined - Accent"/>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Lined - Accent 1"/>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customStyle="1">
    <w:name w:val="Lined - Accent 2"/>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customStyle="1">
    <w:name w:val="Lined - Accent 3"/>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customStyle="1">
    <w:name w:val="Lined - Accent 4"/>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customStyle="1">
    <w:name w:val="Lined - Accent 5"/>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customStyle="1">
    <w:name w:val="Lined - Accent 6"/>
    <w:basedOn w:val="932"/>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customStyle="1">
    <w:name w:val="Bordered &amp; Lined - Accent"/>
    <w:basedOn w:val="932"/>
    <w:uiPriority w:val="99"/>
    <w:pPr>
      <w:pBdr/>
      <w:spacing w:after="0" w:line="240" w:lineRule="auto"/>
      <w:ind/>
    </w:pPr>
    <w:rPr>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customStyle="1">
    <w:name w:val="Bordered &amp; Lined - Accent 1"/>
    <w:basedOn w:val="932"/>
    <w:uiPriority w:val="99"/>
    <w:pPr>
      <w:pBdr/>
      <w:spacing w:after="0" w:line="240" w:lineRule="auto"/>
      <w:ind/>
    </w:pPr>
    <w:rPr>
      <w:color w:val="404040"/>
      <w:sz w:val="20"/>
      <w:szCs w:val="20"/>
      <w:lang w:eastAsia="fr-FR"/>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customStyle="1">
    <w:name w:val="Bordered &amp; Lined - Accent 2"/>
    <w:basedOn w:val="932"/>
    <w:uiPriority w:val="99"/>
    <w:pPr>
      <w:pBdr/>
      <w:spacing w:after="0" w:line="240" w:lineRule="auto"/>
      <w:ind/>
    </w:pPr>
    <w:rPr>
      <w:color w:val="404040"/>
      <w:sz w:val="20"/>
      <w:szCs w:val="20"/>
      <w:lang w:eastAsia="fr-FR"/>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customStyle="1">
    <w:name w:val="Bordered &amp; Lined - Accent 3"/>
    <w:basedOn w:val="932"/>
    <w:uiPriority w:val="99"/>
    <w:pPr>
      <w:pBdr/>
      <w:spacing w:after="0" w:line="240" w:lineRule="auto"/>
      <w:ind/>
    </w:pPr>
    <w:rPr>
      <w:color w:val="404040"/>
      <w:sz w:val="20"/>
      <w:szCs w:val="20"/>
      <w:lang w:eastAsia="fr-FR"/>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customStyle="1">
    <w:name w:val="Bordered &amp; Lined - Accent 4"/>
    <w:basedOn w:val="932"/>
    <w:uiPriority w:val="99"/>
    <w:pPr>
      <w:pBdr/>
      <w:spacing w:after="0" w:line="240" w:lineRule="auto"/>
      <w:ind/>
    </w:pPr>
    <w:rPr>
      <w:color w:val="404040"/>
      <w:sz w:val="20"/>
      <w:szCs w:val="20"/>
      <w:lang w:eastAsia="fr-FR"/>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customStyle="1">
    <w:name w:val="Bordered &amp; Lined - Accent 5"/>
    <w:basedOn w:val="932"/>
    <w:uiPriority w:val="99"/>
    <w:pPr>
      <w:pBdr/>
      <w:spacing w:after="0" w:line="240" w:lineRule="auto"/>
      <w:ind/>
    </w:pPr>
    <w:rPr>
      <w:color w:val="404040"/>
      <w:sz w:val="20"/>
      <w:szCs w:val="20"/>
      <w:lang w:eastAsia="fr-FR"/>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customStyle="1">
    <w:name w:val="Bordered &amp; Lined - Accent 6"/>
    <w:basedOn w:val="932"/>
    <w:uiPriority w:val="99"/>
    <w:pPr>
      <w:pBdr/>
      <w:spacing w:after="0" w:line="240" w:lineRule="auto"/>
      <w:ind/>
    </w:pPr>
    <w:rPr>
      <w:color w:val="404040"/>
      <w:sz w:val="20"/>
      <w:szCs w:val="20"/>
      <w:lang w:eastAsia="fr-FR"/>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customStyle="1">
    <w:name w:val="Bordered"/>
    <w:basedOn w:val="93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customStyle="1">
    <w:name w:val="Bordered - Accent 1"/>
    <w:basedOn w:val="93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customStyle="1">
    <w:name w:val="Bordered - Accent 2"/>
    <w:basedOn w:val="93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customStyle="1">
    <w:name w:val="Bordered - Accent 3"/>
    <w:basedOn w:val="93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customStyle="1">
    <w:name w:val="Bordered - Accent 4"/>
    <w:basedOn w:val="93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customStyle="1">
    <w:name w:val="Bordered - Accent 5"/>
    <w:basedOn w:val="93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customStyle="1">
    <w:name w:val="Bordered - Accent 6"/>
    <w:basedOn w:val="93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94">
    <w:name w:val="Hyperlink"/>
    <w:uiPriority w:val="99"/>
    <w:unhideWhenUsed/>
    <w:pPr>
      <w:pBdr/>
      <w:spacing/>
      <w:ind/>
    </w:pPr>
    <w:rPr>
      <w:color w:val="0563c1" w:themeColor="hyperlink"/>
      <w:u w:val="single"/>
    </w:rPr>
  </w:style>
  <w:style w:type="paragraph" w:styleId="1095">
    <w:name w:val="footnote text"/>
    <w:basedOn w:val="921"/>
    <w:link w:val="1096"/>
    <w:uiPriority w:val="99"/>
    <w:semiHidden/>
    <w:unhideWhenUsed/>
    <w:pPr>
      <w:pBdr/>
      <w:spacing w:after="40"/>
      <w:ind/>
    </w:pPr>
    <w:rPr>
      <w:sz w:val="18"/>
    </w:rPr>
  </w:style>
  <w:style w:type="character" w:styleId="1096" w:customStyle="1">
    <w:name w:val="Note de bas de page Car"/>
    <w:link w:val="1095"/>
    <w:uiPriority w:val="99"/>
    <w:pPr>
      <w:pBdr/>
      <w:spacing/>
      <w:ind/>
    </w:pPr>
    <w:rPr>
      <w:sz w:val="18"/>
    </w:rPr>
  </w:style>
  <w:style w:type="character" w:styleId="1097">
    <w:name w:val="footnote reference"/>
    <w:basedOn w:val="931"/>
    <w:uiPriority w:val="99"/>
    <w:unhideWhenUsed/>
    <w:pPr>
      <w:pBdr/>
      <w:spacing/>
      <w:ind/>
    </w:pPr>
    <w:rPr>
      <w:vertAlign w:val="superscript"/>
    </w:rPr>
  </w:style>
  <w:style w:type="paragraph" w:styleId="1098">
    <w:name w:val="endnote text"/>
    <w:basedOn w:val="921"/>
    <w:link w:val="1099"/>
    <w:uiPriority w:val="99"/>
    <w:semiHidden/>
    <w:unhideWhenUsed/>
    <w:pPr>
      <w:pBdr/>
      <w:spacing/>
      <w:ind/>
    </w:pPr>
    <w:rPr>
      <w:sz w:val="20"/>
    </w:rPr>
  </w:style>
  <w:style w:type="character" w:styleId="1099" w:customStyle="1">
    <w:name w:val="Note de fin Car"/>
    <w:link w:val="1098"/>
    <w:uiPriority w:val="99"/>
    <w:pPr>
      <w:pBdr/>
      <w:spacing/>
      <w:ind/>
    </w:pPr>
    <w:rPr>
      <w:sz w:val="20"/>
    </w:rPr>
  </w:style>
  <w:style w:type="character" w:styleId="1100">
    <w:name w:val="endnote reference"/>
    <w:basedOn w:val="931"/>
    <w:uiPriority w:val="99"/>
    <w:semiHidden/>
    <w:unhideWhenUsed/>
    <w:pPr>
      <w:pBdr/>
      <w:spacing/>
      <w:ind/>
    </w:pPr>
    <w:rPr>
      <w:vertAlign w:val="superscript"/>
    </w:rPr>
  </w:style>
  <w:style w:type="paragraph" w:styleId="1101">
    <w:name w:val="toc 1"/>
    <w:basedOn w:val="921"/>
    <w:next w:val="921"/>
    <w:uiPriority w:val="39"/>
    <w:unhideWhenUsed/>
    <w:pPr>
      <w:pBdr/>
      <w:spacing w:after="57"/>
      <w:ind/>
    </w:pPr>
  </w:style>
  <w:style w:type="paragraph" w:styleId="1102">
    <w:name w:val="toc 2"/>
    <w:basedOn w:val="921"/>
    <w:next w:val="921"/>
    <w:uiPriority w:val="39"/>
    <w:unhideWhenUsed/>
    <w:pPr>
      <w:pBdr/>
      <w:spacing w:after="57"/>
      <w:ind w:left="283"/>
    </w:pPr>
  </w:style>
  <w:style w:type="paragraph" w:styleId="1103">
    <w:name w:val="toc 3"/>
    <w:basedOn w:val="921"/>
    <w:next w:val="921"/>
    <w:uiPriority w:val="39"/>
    <w:unhideWhenUsed/>
    <w:pPr>
      <w:pBdr/>
      <w:spacing w:after="57"/>
      <w:ind w:left="567"/>
    </w:pPr>
  </w:style>
  <w:style w:type="paragraph" w:styleId="1104">
    <w:name w:val="toc 4"/>
    <w:basedOn w:val="921"/>
    <w:next w:val="921"/>
    <w:uiPriority w:val="39"/>
    <w:unhideWhenUsed/>
    <w:pPr>
      <w:pBdr/>
      <w:spacing w:after="57"/>
      <w:ind w:left="850"/>
    </w:pPr>
  </w:style>
  <w:style w:type="paragraph" w:styleId="1105">
    <w:name w:val="toc 5"/>
    <w:basedOn w:val="921"/>
    <w:next w:val="921"/>
    <w:uiPriority w:val="39"/>
    <w:unhideWhenUsed/>
    <w:pPr>
      <w:pBdr/>
      <w:spacing w:after="57"/>
      <w:ind w:left="1134"/>
    </w:pPr>
  </w:style>
  <w:style w:type="paragraph" w:styleId="1106">
    <w:name w:val="toc 6"/>
    <w:basedOn w:val="921"/>
    <w:next w:val="921"/>
    <w:uiPriority w:val="39"/>
    <w:unhideWhenUsed/>
    <w:pPr>
      <w:pBdr/>
      <w:spacing w:after="57"/>
      <w:ind w:left="1417"/>
    </w:pPr>
  </w:style>
  <w:style w:type="paragraph" w:styleId="1107">
    <w:name w:val="toc 7"/>
    <w:basedOn w:val="921"/>
    <w:next w:val="921"/>
    <w:uiPriority w:val="39"/>
    <w:unhideWhenUsed/>
    <w:pPr>
      <w:pBdr/>
      <w:spacing w:after="57"/>
      <w:ind w:left="1701"/>
    </w:pPr>
  </w:style>
  <w:style w:type="paragraph" w:styleId="1108">
    <w:name w:val="toc 8"/>
    <w:basedOn w:val="921"/>
    <w:next w:val="921"/>
    <w:uiPriority w:val="39"/>
    <w:unhideWhenUsed/>
    <w:pPr>
      <w:pBdr/>
      <w:spacing w:after="57"/>
      <w:ind w:left="1984"/>
    </w:pPr>
  </w:style>
  <w:style w:type="paragraph" w:styleId="1109">
    <w:name w:val="toc 9"/>
    <w:basedOn w:val="921"/>
    <w:next w:val="921"/>
    <w:uiPriority w:val="39"/>
    <w:unhideWhenUsed/>
    <w:pPr>
      <w:pBdr/>
      <w:spacing w:after="57"/>
      <w:ind w:left="2268"/>
    </w:pPr>
  </w:style>
  <w:style w:type="paragraph" w:styleId="1110">
    <w:name w:val="TOC Heading"/>
    <w:uiPriority w:val="39"/>
    <w:unhideWhenUsed/>
    <w:pPr>
      <w:pBdr/>
      <w:spacing/>
      <w:ind/>
    </w:pPr>
  </w:style>
  <w:style w:type="paragraph" w:styleId="1111">
    <w:name w:val="table of figures"/>
    <w:basedOn w:val="921"/>
    <w:next w:val="921"/>
    <w:uiPriority w:val="99"/>
    <w:unhideWhenUsed/>
    <w:pPr>
      <w:pBdr/>
      <w:spacing/>
      <w:ind/>
    </w:pPr>
  </w:style>
  <w:style w:type="paragraph" w:styleId="1112">
    <w:name w:val="Subtitle"/>
    <w:basedOn w:val="921"/>
    <w:next w:val="921"/>
    <w:link w:val="1113"/>
    <w:uiPriority w:val="11"/>
    <w:qFormat/>
    <w:pPr>
      <w:numPr>
        <w:ilvl w:val="1"/>
      </w:numPr>
      <w:pBdr/>
      <w:spacing/>
      <w:ind/>
    </w:pPr>
    <w:rPr>
      <w:rFonts w:asciiTheme="minorHAnsi" w:hAnsiTheme="minorHAnsi" w:eastAsiaTheme="minorEastAsia" w:cstheme="minorBidi"/>
      <w:color w:val="5a5a5a" w:themeColor="text1" w:themeTint="A5"/>
      <w:spacing w:val="15"/>
    </w:rPr>
  </w:style>
  <w:style w:type="character" w:styleId="1113" w:customStyle="1">
    <w:name w:val="Sous-titre Car"/>
    <w:basedOn w:val="931"/>
    <w:link w:val="1112"/>
    <w:uiPriority w:val="11"/>
    <w:pPr>
      <w:pBdr/>
      <w:spacing/>
      <w:ind/>
    </w:pPr>
    <w:rPr>
      <w:color w:val="5a5a5a" w:themeColor="text1" w:themeTint="A5"/>
      <w:spacing w:val="15"/>
    </w:rPr>
  </w:style>
  <w:style w:type="paragraph" w:styleId="1114">
    <w:name w:val="No Spacing"/>
    <w:uiPriority w:val="1"/>
    <w:qFormat/>
    <w:pPr>
      <w:pBdr/>
      <w:spacing w:after="0" w:line="240" w:lineRule="auto"/>
      <w:ind/>
    </w:pPr>
    <w:rPr>
      <w:rFonts w:ascii="Calibri" w:hAnsi="Calibri" w:cs="Calibri"/>
      <w:color w:val="000000"/>
    </w:rPr>
  </w:style>
  <w:style w:type="paragraph" w:styleId="1115">
    <w:name w:val="Header"/>
    <w:basedOn w:val="921"/>
    <w:link w:val="1116"/>
    <w:uiPriority w:val="99"/>
    <w:unhideWhenUsed/>
    <w:pPr>
      <w:pBdr/>
      <w:tabs>
        <w:tab w:val="center" w:leader="none" w:pos="4536"/>
        <w:tab w:val="right" w:leader="none" w:pos="9072"/>
      </w:tabs>
      <w:spacing/>
      <w:ind/>
    </w:pPr>
  </w:style>
  <w:style w:type="character" w:styleId="1116" w:customStyle="1">
    <w:name w:val="En-tête Car"/>
    <w:basedOn w:val="931"/>
    <w:link w:val="1115"/>
    <w:uiPriority w:val="99"/>
    <w:pPr>
      <w:pBdr/>
      <w:spacing/>
      <w:ind/>
    </w:pPr>
    <w:rPr>
      <w:rFonts w:ascii="Calibri" w:hAnsi="Calibri" w:cs="Calibri"/>
      <w:color w:val="000000"/>
    </w:rPr>
  </w:style>
  <w:style w:type="paragraph" w:styleId="1117">
    <w:name w:val="Footer"/>
    <w:basedOn w:val="921"/>
    <w:link w:val="1118"/>
    <w:uiPriority w:val="99"/>
    <w:unhideWhenUsed/>
    <w:pPr>
      <w:pBdr/>
      <w:tabs>
        <w:tab w:val="center" w:leader="none" w:pos="4536"/>
        <w:tab w:val="right" w:leader="none" w:pos="9072"/>
      </w:tabs>
      <w:spacing/>
      <w:ind/>
    </w:pPr>
  </w:style>
  <w:style w:type="character" w:styleId="1118" w:customStyle="1">
    <w:name w:val="Pied de page Car"/>
    <w:basedOn w:val="931"/>
    <w:link w:val="1117"/>
    <w:uiPriority w:val="99"/>
    <w:pPr>
      <w:pBdr/>
      <w:spacing/>
      <w:ind/>
    </w:pPr>
    <w:rPr>
      <w:rFonts w:ascii="Calibri" w:hAnsi="Calibri" w:cs="Calibri"/>
      <w:color w:val="000000"/>
    </w:rPr>
  </w:style>
  <w:style w:type="character" w:styleId="1119" w:customStyle="1">
    <w:name w:val="Titre 2 Car"/>
    <w:basedOn w:val="931"/>
    <w:link w:val="923"/>
    <w:pPr>
      <w:pBdr/>
      <w:spacing/>
      <w:ind/>
    </w:pPr>
    <w:rPr>
      <w:rFonts w:ascii="Liberation Sans" w:hAnsi="Liberation Sans" w:eastAsia="Liberation Sans" w:cs="Liberation Sans"/>
      <w:b/>
      <w:i/>
      <w:color w:val="ff8d00"/>
      <w:sz w:val="24"/>
      <w:szCs w:val="24"/>
      <w:lang w:eastAsia="fr-FR"/>
    </w:rPr>
  </w:style>
  <w:style w:type="paragraph" w:styleId="1120">
    <w:name w:val="Balloon Text"/>
    <w:basedOn w:val="921"/>
    <w:link w:val="1121"/>
    <w:uiPriority w:val="99"/>
    <w:semiHidden/>
    <w:unhideWhenUsed/>
    <w:pPr>
      <w:pBdr/>
      <w:spacing/>
      <w:ind/>
    </w:pPr>
    <w:rPr>
      <w:sz w:val="18"/>
      <w:szCs w:val="18"/>
    </w:rPr>
  </w:style>
  <w:style w:type="character" w:styleId="1121" w:customStyle="1">
    <w:name w:val="Texte de bulles Car"/>
    <w:basedOn w:val="931"/>
    <w:link w:val="1120"/>
    <w:uiPriority w:val="99"/>
    <w:semiHidden/>
    <w:pPr>
      <w:pBdr/>
      <w:spacing/>
      <w:ind/>
    </w:pPr>
    <w:rPr>
      <w:rFonts w:ascii="Times New Roman" w:hAnsi="Times New Roman" w:cs="Times New Roman"/>
      <w:color w:val="000000"/>
      <w:sz w:val="18"/>
      <w:szCs w:val="18"/>
    </w:rPr>
  </w:style>
  <w:style w:type="character" w:styleId="1122">
    <w:name w:val="Unresolved Mention"/>
    <w:basedOn w:val="931"/>
    <w:uiPriority w:val="99"/>
    <w:semiHidden/>
    <w:unhideWhenUsed/>
    <w:pPr>
      <w:pBdr/>
      <w:spacing/>
      <w:ind/>
    </w:pPr>
    <w:rPr>
      <w:color w:val="605e5c"/>
      <w:shd w:val="clear" w:color="auto" w:fill="e1dfdd"/>
    </w:rPr>
  </w:style>
  <w:style w:type="character" w:styleId="1123">
    <w:name w:val="annotation reference"/>
    <w:basedOn w:val="931"/>
    <w:uiPriority w:val="99"/>
    <w:semiHidden/>
    <w:unhideWhenUsed/>
    <w:pPr>
      <w:pBdr/>
      <w:spacing/>
      <w:ind/>
    </w:pPr>
    <w:rPr>
      <w:sz w:val="16"/>
      <w:szCs w:val="16"/>
    </w:rPr>
  </w:style>
  <w:style w:type="paragraph" w:styleId="1124">
    <w:name w:val="annotation text"/>
    <w:basedOn w:val="921"/>
    <w:link w:val="1125"/>
    <w:uiPriority w:val="99"/>
    <w:semiHidden/>
    <w:unhideWhenUsed/>
    <w:pPr>
      <w:pBdr/>
      <w:spacing/>
      <w:ind/>
    </w:pPr>
    <w:rPr>
      <w:sz w:val="20"/>
      <w:szCs w:val="20"/>
    </w:rPr>
  </w:style>
  <w:style w:type="character" w:styleId="1125" w:customStyle="1">
    <w:name w:val="Commentaire Car"/>
    <w:basedOn w:val="931"/>
    <w:link w:val="1124"/>
    <w:uiPriority w:val="99"/>
    <w:semiHidden/>
    <w:pPr>
      <w:pBdr/>
      <w:spacing/>
      <w:ind/>
    </w:pPr>
    <w:rPr>
      <w:rFonts w:ascii="Times New Roman" w:hAnsi="Times New Roman" w:eastAsia="Times New Roman" w:cs="Times New Roman"/>
      <w:sz w:val="20"/>
      <w:szCs w:val="20"/>
      <w:lang w:eastAsia="fr-FR"/>
    </w:rPr>
  </w:style>
  <w:style w:type="paragraph" w:styleId="1126">
    <w:name w:val="annotation subject"/>
    <w:basedOn w:val="1124"/>
    <w:next w:val="1124"/>
    <w:link w:val="1127"/>
    <w:uiPriority w:val="99"/>
    <w:semiHidden/>
    <w:unhideWhenUsed/>
    <w:pPr>
      <w:pBdr/>
      <w:spacing/>
      <w:ind/>
    </w:pPr>
    <w:rPr>
      <w:b/>
      <w:bCs/>
    </w:rPr>
  </w:style>
  <w:style w:type="character" w:styleId="1127" w:customStyle="1">
    <w:name w:val="Objet du commentaire Car"/>
    <w:basedOn w:val="1125"/>
    <w:link w:val="1126"/>
    <w:uiPriority w:val="99"/>
    <w:semiHidden/>
    <w:pPr>
      <w:pBdr/>
      <w:spacing/>
      <w:ind/>
    </w:pPr>
    <w:rPr>
      <w:rFonts w:ascii="Times New Roman" w:hAnsi="Times New Roman" w:eastAsia="Times New Roman" w:cs="Times New Roman"/>
      <w:b/>
      <w:bCs/>
      <w:sz w:val="20"/>
      <w:szCs w:val="20"/>
      <w:lang w:eastAsia="fr-FR"/>
    </w:rPr>
  </w:style>
  <w:style w:type="paragraph" w:styleId="1128" w:customStyle="1">
    <w:name w:val="Default"/>
    <w:pPr>
      <w:pBdr/>
      <w:spacing w:after="0" w:line="240" w:lineRule="auto"/>
      <w:ind/>
    </w:pPr>
    <w:rPr>
      <w:rFonts w:ascii="Calibri" w:hAnsi="Calibri" w:cs="Calibri" w:eastAsiaTheme="minorHAnsi"/>
      <w:color w:val="000000"/>
      <w:sz w:val="24"/>
      <w:szCs w:val="24"/>
    </w:rPr>
  </w:style>
  <w:style w:type="paragraph" w:styleId="1129">
    <w:name w:val="Normal (Web)"/>
    <w:basedOn w:val="921"/>
    <w:uiPriority w:val="99"/>
    <w:unhideWhenUsed/>
    <w:pPr>
      <w:pBdr/>
      <w:spacing w:after="100" w:afterAutospacing="1" w:before="100" w:beforeAutospacing="1"/>
      <w:ind/>
    </w:pPr>
  </w:style>
  <w:style w:type="character" w:styleId="1130" w:customStyle="1">
    <w:name w:val="apple-converted-space"/>
    <w:basedOn w:val="931"/>
    <w:pPr>
      <w:pBdr/>
      <w:spacing/>
      <w:ind/>
    </w:pPr>
  </w:style>
  <w:style w:type="character" w:styleId="1131">
    <w:name w:val="Emphasis"/>
    <w:basedOn w:val="931"/>
    <w:uiPriority w:val="20"/>
    <w:qFormat/>
    <w:pPr>
      <w:pBdr/>
      <w:spacing/>
      <w:ind/>
    </w:pPr>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jp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mailto:Anne.Kavounoudias@univ-amu.fr"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LONGAVESNE Emmanuelle</dc:creator>
  <cp:keywords/>
  <dc:description/>
  <cp:lastModifiedBy>julie koenig (Invité)</cp:lastModifiedBy>
  <cp:revision>50</cp:revision>
  <dcterms:created xsi:type="dcterms:W3CDTF">2023-06-29T12:48:00Z</dcterms:created>
  <dcterms:modified xsi:type="dcterms:W3CDTF">2026-07-13T05:51:17Z</dcterms:modified>
</cp:coreProperties>
</file>