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1C5D0C03" w14:textId="77777777">
      <w:pPr>
        <w:pStyle w:val="1193"/>
        <w:pBdr/>
        <w:spacing/>
        <w:ind w:right="-1369" w:firstLine="0" w:left="-1418"/>
        <w:jc w:val="center"/>
        <w:rPr>
          <w:rFonts w:ascii="Arial" w:hAnsi="Arial" w:eastAsia="Verdana" w:cs="Arial"/>
          <w:b/>
          <w:bCs/>
          <w:sz w:val="44"/>
          <w:szCs w:val="44"/>
        </w:rPr>
      </w:pPr>
      <w:r>
        <w:rPr>
          <w:rFonts w:ascii="Arial" w:hAnsi="Arial" w:eastAsia="Verdana" w:cs="Arial"/>
          <w:b/>
          <w:bCs/>
          <w:sz w:val="44"/>
          <w:szCs w:val="44"/>
        </w:rPr>
        <w:t xml:space="preserve">Enseignements</w:t>
      </w:r>
      <w:r>
        <w:rPr>
          <w:rFonts w:ascii="Arial" w:hAnsi="Arial" w:eastAsia="Verdana" w:cs="Arial"/>
          <w:b/>
          <w:bCs/>
          <w:sz w:val="44"/>
          <w:szCs w:val="44"/>
        </w:rPr>
        <w:t xml:space="preserve"> de</w:t>
      </w:r>
      <w:r>
        <w:rPr>
          <w:rFonts w:ascii="Arial" w:hAnsi="Arial" w:eastAsia="Verdana" w:cs="Arial"/>
          <w:b/>
          <w:bCs/>
          <w:sz w:val="44"/>
          <w:szCs w:val="44"/>
        </w:rPr>
        <w:t xml:space="preserve"> Licence 3 </w:t>
      </w:r>
      <w:r>
        <w:rPr>
          <w:rFonts w:ascii="Arial" w:hAnsi="Arial" w:eastAsia="Verdana" w:cs="Arial"/>
          <w:b/>
          <w:bCs/>
          <w:sz w:val="44"/>
          <w:szCs w:val="44"/>
        </w:rPr>
      </w:r>
      <w:r>
        <w:rPr>
          <w:rFonts w:ascii="Arial" w:hAnsi="Arial" w:eastAsia="Verdana" w:cs="Arial"/>
          <w:b/>
          <w:bCs/>
          <w:sz w:val="44"/>
          <w:szCs w:val="44"/>
        </w:rPr>
      </w:r>
    </w:p>
    <w:p w14:paraId="546EF20E" w14:textId="4D5B07A4">
      <w:pPr>
        <w:pStyle w:val="1193"/>
        <w:pBdr/>
        <w:spacing/>
        <w:ind w:right="-1369" w:firstLine="0" w:left="-1418"/>
        <w:jc w:val="center"/>
        <w:rPr>
          <w:rFonts w:ascii="Arial" w:hAnsi="Arial" w:eastAsia="Verdana" w:cs="Arial"/>
          <w:b/>
          <w:bCs/>
          <w:color w:val="000000"/>
          <w:sz w:val="24"/>
          <w:szCs w:val="24"/>
        </w:rPr>
      </w:pPr>
      <w:r>
        <w:rPr>
          <w:rFonts w:ascii="Arial" w:hAnsi="Arial" w:eastAsia="Verdana" w:cs="Arial"/>
          <w:b/>
          <w:bCs/>
          <w:sz w:val="40"/>
          <w:szCs w:val="40"/>
        </w:rPr>
        <w:t xml:space="preserve">S</w:t>
      </w:r>
      <w:r>
        <w:rPr>
          <w:rFonts w:ascii="Arial" w:hAnsi="Arial" w:eastAsia="Verdana" w:cs="Arial"/>
          <w:b/>
          <w:bCs/>
          <w:sz w:val="40"/>
          <w:szCs w:val="40"/>
        </w:rPr>
        <w:t xml:space="preserve">emestre 6</w:t>
      </w:r>
      <w:r>
        <w:rPr>
          <w:rFonts w:ascii="Arial" w:hAnsi="Arial" w:eastAsia="Verdana" w:cs="Arial"/>
          <w:b/>
          <w:bCs/>
          <w:color w:val="000000"/>
          <w:sz w:val="24"/>
          <w:szCs w:val="24"/>
        </w:rPr>
      </w:r>
      <w:r>
        <w:rPr>
          <w:rFonts w:ascii="Arial" w:hAnsi="Arial" w:eastAsia="Verdana" w:cs="Arial"/>
          <w:b/>
          <w:bCs/>
          <w:color w:val="000000"/>
          <w:sz w:val="24"/>
          <w:szCs w:val="24"/>
        </w:rPr>
      </w:r>
    </w:p>
    <w:p w14:paraId="3F48DF66" w14:textId="77777777">
      <w:pPr>
        <w:pBdr/>
        <w:spacing/>
        <w:ind/>
        <w:rPr>
          <w:rFonts w:ascii="Verdana" w:hAnsi="Verdana" w:eastAsia="Verdana" w:cs="Verdana"/>
          <w:color w:val="000000"/>
          <w:sz w:val="32"/>
          <w:szCs w:val="32"/>
        </w:rPr>
      </w:pPr>
      <w:r>
        <w:rPr>
          <w:rFonts w:ascii="Verdana" w:hAnsi="Verdana" w:eastAsia="Verdana" w:cs="Verdana"/>
          <w:color w:val="000000"/>
          <w:sz w:val="32"/>
          <w:szCs w:val="32"/>
        </w:rPr>
      </w:r>
      <w:r>
        <w:rPr>
          <w:rFonts w:ascii="Verdana" w:hAnsi="Verdana" w:eastAsia="Verdana" w:cs="Verdana"/>
          <w:color w:val="000000"/>
          <w:sz w:val="32"/>
          <w:szCs w:val="32"/>
        </w:rPr>
      </w:r>
      <w:r>
        <w:rPr>
          <w:rFonts w:ascii="Verdana" w:hAnsi="Verdana" w:eastAsia="Verdana" w:cs="Verdana"/>
          <w:color w:val="000000"/>
          <w:sz w:val="32"/>
          <w:szCs w:val="32"/>
        </w:rPr>
      </w:r>
    </w:p>
    <w:p w14:paraId="69AF1D80" w14:textId="77777777">
      <w:pPr>
        <w:pBdr/>
        <w:spacing/>
        <w:ind/>
        <w:jc w:val="center"/>
        <w:rPr>
          <w:rFonts w:ascii="Verdana" w:hAnsi="Verdana" w:eastAsia="Verdana" w:cs="Verdana"/>
          <w:color w:val="000000"/>
          <w:sz w:val="32"/>
          <w:szCs w:val="32"/>
        </w:rPr>
      </w:pPr>
      <w:r>
        <w:rPr>
          <w:rFonts w:ascii="Verdana" w:hAnsi="Verdana" w:eastAsia="Verdana" w:cs="Verdana"/>
          <w:color w:val="000000"/>
          <w:sz w:val="32"/>
          <w:szCs w:val="32"/>
        </w:rPr>
      </w:r>
      <w:r>
        <w:rPr>
          <w:rFonts w:ascii="Verdana" w:hAnsi="Verdana" w:eastAsia="Verdana" w:cs="Verdana"/>
          <w:color w:val="000000"/>
          <w:sz w:val="32"/>
          <w:szCs w:val="32"/>
        </w:rPr>
      </w:r>
      <w:r>
        <w:rPr>
          <w:rFonts w:ascii="Verdana" w:hAnsi="Verdana" w:eastAsia="Verdana" w:cs="Verdana"/>
          <w:color w:val="000000"/>
          <w:sz w:val="32"/>
          <w:szCs w:val="32"/>
        </w:rPr>
      </w:r>
    </w:p>
    <w:p w14:paraId="7E0BA258" w14:textId="77777777">
      <w:pPr>
        <w:pBdr/>
        <w:spacing/>
        <w:ind/>
        <w:jc w:val="center"/>
        <w:rPr>
          <w:rFonts w:ascii="Verdana" w:hAnsi="Verdana" w:eastAsia="Verdana" w:cs="Verdana"/>
          <w:color w:val="000000"/>
          <w:sz w:val="32"/>
          <w:szCs w:val="32"/>
        </w:rPr>
      </w:pPr>
      <w:r>
        <w:rPr>
          <w:rFonts w:ascii="Verdana" w:hAnsi="Verdana" w:eastAsia="Verdana" w:cs="Verdana"/>
          <w:color w:val="000000" w:themeColor="text1"/>
          <w:sz w:val="32"/>
          <w:szCs w:val="32"/>
        </w:rPr>
        <mc:AlternateContent>
          <mc:Choice Requires="wpg">
            <w:drawing>
              <wp:inline xmlns:wp="http://schemas.openxmlformats.org/drawingml/2006/wordprocessingDrawing" distT="0" distB="0" distL="0" distR="0">
                <wp:extent cx="3584575" cy="5078095"/>
                <wp:effectExtent l="0" t="0" r="0" b="8255"/>
                <wp:docPr id="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r/>
                      </pic:nvPicPr>
                      <pic:blipFill rotWithShape="1">
                        <a:blip r:embed="rId13"/>
                        <a:stretch/>
                      </pic:blipFill>
                      <pic:spPr bwMode="auto">
                        <a:xfrm>
                          <a:off x="0" y="0"/>
                          <a:ext cx="3584575" cy="507809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82.25pt;height:399.85pt;mso-wrap-distance-left:0.00pt;mso-wrap-distance-top:0.00pt;mso-wrap-distance-right:0.00pt;mso-wrap-distance-bottom:0.00pt;z-index:1;" stroked="false">
                <v:imagedata r:id="rId13" o:title=""/>
                <o:lock v:ext="edit" rotation="t"/>
              </v:shape>
            </w:pict>
          </mc:Fallback>
        </mc:AlternateContent>
      </w:r>
      <w:r>
        <w:rPr>
          <w:rFonts w:ascii="Verdana" w:hAnsi="Verdana" w:eastAsia="Verdana" w:cs="Verdana"/>
          <w:color w:val="000000"/>
          <w:sz w:val="32"/>
          <w:szCs w:val="32"/>
        </w:rPr>
      </w:r>
      <w:r>
        <w:rPr>
          <w:rFonts w:ascii="Verdana" w:hAnsi="Verdana" w:eastAsia="Verdana" w:cs="Verdana"/>
          <w:color w:val="000000"/>
          <w:sz w:val="32"/>
          <w:szCs w:val="32"/>
        </w:rPr>
      </w:r>
    </w:p>
    <w:p w14:paraId="1F600AEC" w14:textId="77777777">
      <w:pPr>
        <w:pBdr/>
        <w:spacing/>
        <w:ind/>
        <w:jc w:val="center"/>
        <w:rPr>
          <w:rFonts w:ascii="Verdana" w:hAnsi="Verdana" w:eastAsia="Verdana" w:cs="Verdana"/>
          <w:color w:val="000000"/>
          <w:sz w:val="32"/>
          <w:szCs w:val="32"/>
        </w:rPr>
      </w:pPr>
      <w:r>
        <w:rPr>
          <w:rFonts w:ascii="Verdana" w:hAnsi="Verdana" w:eastAsia="Verdana" w:cs="Verdana"/>
          <w:color w:val="000000"/>
          <w:sz w:val="32"/>
          <w:szCs w:val="32"/>
        </w:rPr>
      </w:r>
      <w:r>
        <w:rPr>
          <w:rFonts w:ascii="Verdana" w:hAnsi="Verdana" w:eastAsia="Verdana" w:cs="Verdana"/>
          <w:color w:val="000000"/>
          <w:sz w:val="32"/>
          <w:szCs w:val="32"/>
        </w:rPr>
      </w:r>
      <w:r>
        <w:rPr>
          <w:rFonts w:ascii="Verdana" w:hAnsi="Verdana" w:eastAsia="Verdana" w:cs="Verdana"/>
          <w:color w:val="000000"/>
          <w:sz w:val="32"/>
          <w:szCs w:val="32"/>
        </w:rPr>
      </w:r>
    </w:p>
    <w:p w14:paraId="428FCA70" w14:textId="77777777">
      <w:pPr>
        <w:pStyle w:val="1193"/>
        <w:pBdr/>
        <w:spacing w:before="9"/>
        <w:ind w:firstLine="0" w:left="0"/>
        <w:rPr>
          <w:rFonts w:ascii="Verdana" w:hAnsi="Verdana" w:eastAsia="Verdana" w:cs="Verdana"/>
          <w:color w:val="000000"/>
          <w:sz w:val="35"/>
          <w:szCs w:val="35"/>
        </w:rPr>
      </w:pPr>
      <w:r>
        <w:rPr>
          <w:rFonts w:ascii="Verdana" w:hAnsi="Verdana" w:eastAsia="Verdana" w:cs="Verdana"/>
          <w:color w:val="000000"/>
          <w:sz w:val="35"/>
          <w:szCs w:val="35"/>
        </w:rPr>
      </w:r>
      <w:r>
        <w:rPr>
          <w:rFonts w:ascii="Verdana" w:hAnsi="Verdana" w:eastAsia="Verdana" w:cs="Verdana"/>
          <w:color w:val="000000"/>
          <w:sz w:val="35"/>
          <w:szCs w:val="35"/>
        </w:rPr>
      </w:r>
      <w:r>
        <w:rPr>
          <w:rFonts w:ascii="Verdana" w:hAnsi="Verdana" w:eastAsia="Verdana" w:cs="Verdana"/>
          <w:color w:val="000000"/>
          <w:sz w:val="35"/>
          <w:szCs w:val="35"/>
        </w:rPr>
      </w:r>
    </w:p>
    <w:p w14:paraId="21560833" w14:textId="77777777">
      <w:pPr>
        <w:pStyle w:val="1193"/>
        <w:numPr>
          <w:ilvl w:val="0"/>
          <w:numId w:val="10"/>
        </w:numPr>
        <w:pBdr/>
        <w:spacing w:before="122" w:line="276" w:lineRule="auto"/>
        <w:ind w:firstLine="0" w:left="0"/>
        <w:jc w:val="both"/>
        <w:rPr>
          <w:rFonts w:ascii="Verdana" w:hAnsi="Verdana" w:eastAsia="Verdana" w:cs="Verdana"/>
          <w:b/>
          <w:color w:val="000000"/>
        </w:rPr>
      </w:pPr>
      <w:r/>
      <w:bookmarkStart w:id="0" w:name="_eorh73eh2ikw"/>
      <w:r/>
      <w:bookmarkEnd w:id="0"/>
      <w:r>
        <w:rPr>
          <w:rFonts w:ascii="Verdana" w:hAnsi="Verdana" w:eastAsia="Verdana" w:cs="Verdana"/>
          <w:b/>
          <w:color w:val="000000"/>
        </w:rPr>
      </w:r>
      <w:r>
        <w:rPr>
          <w:rFonts w:ascii="Verdana" w:hAnsi="Verdana" w:eastAsia="Verdana" w:cs="Verdana"/>
          <w:b/>
          <w:color w:val="000000"/>
        </w:rPr>
      </w:r>
    </w:p>
    <w:p w14:paraId="7C855A60" w14:textId="77777777">
      <w:pPr>
        <w:pStyle w:val="1193"/>
        <w:numPr>
          <w:ilvl w:val="0"/>
          <w:numId w:val="10"/>
        </w:numPr>
        <w:pBdr/>
        <w:spacing/>
        <w:ind w:firstLine="0" w:left="0"/>
        <w:rPr>
          <w:rFonts w:ascii="Arial" w:hAnsi="Arial" w:eastAsia="Arial" w:cs="Arial"/>
          <w:color w:val="000000"/>
        </w:rPr>
      </w:pPr>
      <w:r>
        <w:rPr>
          <w:rFonts w:ascii="Arial" w:hAnsi="Arial" w:eastAsia="Arial" w:cs="Arial"/>
          <w:color w:val="000000" w:themeColor="text1"/>
        </w:rPr>
        <w:br w:type="page" w:clear="all"/>
      </w:r>
      <w:r>
        <w:rPr>
          <w:rFonts w:ascii="Arial" w:hAnsi="Arial" w:eastAsia="Arial" w:cs="Arial"/>
          <w:color w:val="000000"/>
        </w:rPr>
      </w:r>
      <w:r>
        <w:rPr>
          <w:rFonts w:ascii="Arial" w:hAnsi="Arial" w:eastAsia="Arial" w:cs="Arial"/>
          <w:color w:val="000000"/>
        </w:rPr>
      </w:r>
    </w:p>
    <w:p w14:paraId="22E90A84" w14:textId="0FD09965">
      <w:pPr>
        <w:pBdr/>
        <w:spacing/>
        <w:ind/>
        <w:rPr>
          <w:rFonts w:ascii="Arial" w:hAnsi="Arial" w:eastAsia="Arial" w:cs="Arial"/>
          <w:color w:val="000000"/>
        </w:rPr>
      </w:pPr>
      <w:r>
        <w:rPr>
          <w:rFonts w:ascii="Arial" w:hAnsi="Arial" w:eastAsia="Arial" w:cs="Arial"/>
          <w:color w:val="000000"/>
        </w:rPr>
        <mc:AlternateContent>
          <mc:Choice Requires="wpg">
            <w:drawing>
              <wp:inline xmlns:wp="http://schemas.openxmlformats.org/drawingml/2006/wordprocessingDrawing" distT="0" distB="0" distL="0" distR="0">
                <wp:extent cx="5372100" cy="8467408"/>
                <wp:effectExtent l="0" t="0" r="0" b="0"/>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rotWithShape="1">
                        <a:blip r:embed="rId14"/>
                        <a:stretch/>
                      </pic:blipFill>
                      <pic:spPr bwMode="auto">
                        <a:xfrm>
                          <a:off x="0" y="0"/>
                          <a:ext cx="5373534" cy="84696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23.00pt;height:666.73pt;mso-wrap-distance-left:0.00pt;mso-wrap-distance-top:0.00pt;mso-wrap-distance-right:0.00pt;mso-wrap-distance-bottom:0.00pt;z-index:1;" stroked="false">
                <v:imagedata r:id="rId14" o:title=""/>
                <o:lock v:ext="edit" rotation="t"/>
              </v:shape>
            </w:pict>
          </mc:Fallback>
        </mc:AlternateContent>
      </w:r>
      <w:r>
        <w:rPr>
          <w:rFonts w:ascii="Arial" w:hAnsi="Arial" w:eastAsia="Arial" w:cs="Arial"/>
          <w:color w:val="000000"/>
        </w:rPr>
      </w:r>
      <w:r>
        <w:rPr>
          <w:rFonts w:ascii="Arial" w:hAnsi="Arial" w:eastAsia="Arial" w:cs="Arial"/>
          <w:color w:val="000000"/>
        </w:rPr>
      </w:r>
    </w:p>
    <w:p w14:paraId="61452452" w14:textId="7CF01F01">
      <w:pPr>
        <w:pBdr/>
        <w:spacing/>
        <w:ind/>
        <w:rPr>
          <w:color w:val="000000" w:themeColor="text1"/>
        </w:rPr>
      </w:pPr>
      <w:r>
        <w:rPr>
          <w:color w:val="000000" w:themeColor="text1"/>
        </w:rPr>
        <w:br w:type="page" w:clear="all"/>
      </w:r>
      <w:r>
        <w:rPr>
          <w:color w:val="000000" w:themeColor="text1"/>
        </w:rPr>
      </w:r>
      <w:r>
        <w:rPr>
          <w:color w:val="000000" w:themeColor="text1"/>
        </w:rPr>
      </w:r>
    </w:p>
    <w:p w14:paraId="28B09779" w14:textId="2AB8A980">
      <w:pPr>
        <w:pBdr/>
        <w:spacing/>
        <w:ind/>
        <w:rPr>
          <w:color w:val="000000" w:themeColor="text1"/>
        </w:rPr>
      </w:pPr>
      <w:r>
        <w:rPr>
          <w:color w:val="000000" w:themeColor="text1"/>
        </w:rPr>
      </w:r>
      <w:r>
        <w:rPr>
          <w:color w:val="000000" w:themeColor="text1"/>
        </w:rPr>
      </w:r>
      <w:r>
        <w:rPr>
          <w:color w:val="000000" w:themeColor="text1"/>
        </w:rPr>
      </w:r>
    </w:p>
    <w:p w14:paraId="45C0DE7D" w14:textId="20BD39AE">
      <w:pPr>
        <w:pBdr/>
        <w:spacing/>
        <w:ind/>
        <w:rPr>
          <w:color w:val="000000" w:themeColor="text1"/>
        </w:rPr>
      </w:pPr>
      <w:r>
        <w:rPr>
          <w:rFonts w:asciiTheme="minorHAnsi" w:hAnsiTheme="minorHAnsi" w:cstheme="minorHAnsi"/>
          <w:color w:val="000000" w:themeColor="text1"/>
        </w:rPr>
        <mc:AlternateContent>
          <mc:Choice Requires="wpg">
            <w:drawing>
              <wp:anchor xmlns:wp="http://schemas.openxmlformats.org/drawingml/2006/wordprocessingDrawing" xmlns:wp14="http://schemas.microsoft.com/office/word/2010/wordprocessingDrawing" distT="0" distB="0" distL="114300" distR="114300" simplePos="0" relativeHeight="251661312" behindDoc="0" locked="0" layoutInCell="1" allowOverlap="1">
                <wp:simplePos x="0" y="0"/>
                <wp:positionH relativeFrom="column">
                  <wp:posOffset>490221</wp:posOffset>
                </wp:positionH>
                <wp:positionV relativeFrom="paragraph">
                  <wp:posOffset>10795</wp:posOffset>
                </wp:positionV>
                <wp:extent cx="5010150" cy="3852537"/>
                <wp:effectExtent l="0" t="0" r="0" b="0"/>
                <wp:wrapNone/>
                <wp:docPr id="10"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rotWithShape="1">
                        <a:blip r:embed="rId15"/>
                        <a:stretch/>
                      </pic:blipFill>
                      <pic:spPr bwMode="auto">
                        <a:xfrm>
                          <a:off x="0" y="0"/>
                          <a:ext cx="5014169" cy="3855628"/>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position:absolute;z-index:251661312;o:allowoverlap:true;o:allowincell:true;mso-position-horizontal-relative:text;margin-left:38.60pt;mso-position-horizontal:absolute;mso-position-vertical-relative:text;margin-top:0.85pt;mso-position-vertical:absolute;width:394.50pt;height:303.35pt;mso-wrap-distance-left:9.00pt;mso-wrap-distance-top:0.00pt;mso-wrap-distance-right:9.00pt;mso-wrap-distance-bottom:0.00pt;z-index:1;" stroked="false">
                <v:imagedata r:id="rId15" o:title=""/>
                <o:lock v:ext="edit" rotation="t"/>
              </v:shape>
            </w:pict>
          </mc:Fallback>
        </mc:AlternateContent>
      </w:r>
      <w:r>
        <w:rPr>
          <w:color w:val="000000" w:themeColor="text1"/>
        </w:rPr>
      </w:r>
      <w:r>
        <w:rPr>
          <w:color w:val="000000" w:themeColor="text1"/>
        </w:rPr>
      </w:r>
    </w:p>
    <w:p w14:paraId="6E330CBE" w14:textId="79F569BE">
      <w:pPr>
        <w:pBdr/>
        <w:spacing/>
        <w:ind/>
        <w:rPr>
          <w:color w:val="000000" w:themeColor="text1"/>
        </w:rPr>
      </w:pPr>
      <w:r>
        <w:rPr>
          <w:color w:val="000000" w:themeColor="text1"/>
        </w:rPr>
      </w:r>
      <w:r>
        <w:rPr>
          <w:color w:val="000000" w:themeColor="text1"/>
        </w:rPr>
      </w:r>
      <w:r>
        <w:rPr>
          <w:color w:val="000000" w:themeColor="text1"/>
        </w:rPr>
      </w:r>
    </w:p>
    <w:p w14:paraId="46EDF334" w14:textId="27206486">
      <w:pPr>
        <w:pBdr/>
        <w:spacing/>
        <w:ind/>
        <w:rPr>
          <w:color w:val="000000" w:themeColor="text1"/>
        </w:rPr>
      </w:pPr>
      <w:r>
        <w:rPr>
          <w:color w:val="000000" w:themeColor="text1"/>
        </w:rPr>
      </w:r>
      <w:r>
        <w:rPr>
          <w:color w:val="000000" w:themeColor="text1"/>
        </w:rPr>
      </w:r>
      <w:r>
        <w:rPr>
          <w:color w:val="000000" w:themeColor="text1"/>
        </w:rPr>
      </w:r>
    </w:p>
    <w:p w14:paraId="2E99BB52" w14:textId="5AB3F8A0">
      <w:pPr>
        <w:pBdr/>
        <w:spacing/>
        <w:ind/>
        <w:rPr>
          <w:color w:val="000000" w:themeColor="text1"/>
        </w:rPr>
      </w:pPr>
      <w:r>
        <w:rPr>
          <w:color w:val="000000" w:themeColor="text1"/>
        </w:rPr>
      </w:r>
      <w:r>
        <w:rPr>
          <w:color w:val="000000" w:themeColor="text1"/>
        </w:rPr>
      </w:r>
      <w:r>
        <w:rPr>
          <w:color w:val="000000" w:themeColor="text1"/>
        </w:rPr>
      </w:r>
    </w:p>
    <w:p w14:paraId="45560909" w14:textId="04CC6BFA">
      <w:pPr>
        <w:pBdr/>
        <w:spacing/>
        <w:ind/>
        <w:rPr>
          <w:color w:val="000000" w:themeColor="text1"/>
        </w:rPr>
      </w:pPr>
      <w:r>
        <w:rPr>
          <w:color w:val="000000" w:themeColor="text1"/>
        </w:rPr>
      </w:r>
      <w:r>
        <w:rPr>
          <w:color w:val="000000" w:themeColor="text1"/>
        </w:rPr>
      </w:r>
      <w:r>
        <w:rPr>
          <w:color w:val="000000" w:themeColor="text1"/>
        </w:rPr>
      </w:r>
    </w:p>
    <w:p w14:paraId="3881AA63" w14:textId="40B747CC">
      <w:pPr>
        <w:pBdr/>
        <w:spacing/>
        <w:ind/>
        <w:rPr>
          <w:color w:val="000000" w:themeColor="text1"/>
        </w:rPr>
      </w:pPr>
      <w:r>
        <w:rPr>
          <w:color w:val="000000" w:themeColor="text1"/>
        </w:rPr>
      </w:r>
      <w:r>
        <w:rPr>
          <w:color w:val="000000" w:themeColor="text1"/>
        </w:rPr>
      </w:r>
      <w:r>
        <w:rPr>
          <w:color w:val="000000" w:themeColor="text1"/>
        </w:rPr>
      </w:r>
    </w:p>
    <w:p w14:paraId="7B90BF84" w14:textId="7B10345E">
      <w:pPr>
        <w:pBdr/>
        <w:spacing/>
        <w:ind/>
        <w:rPr>
          <w:color w:val="000000" w:themeColor="text1"/>
        </w:rPr>
      </w:pPr>
      <w:r>
        <w:rPr>
          <w:color w:val="000000" w:themeColor="text1"/>
        </w:rPr>
      </w:r>
      <w:r>
        <w:rPr>
          <w:color w:val="000000" w:themeColor="text1"/>
        </w:rPr>
      </w:r>
      <w:r>
        <w:rPr>
          <w:color w:val="000000" w:themeColor="text1"/>
        </w:rPr>
      </w:r>
    </w:p>
    <w:p w14:paraId="37B5FF72" w14:textId="5C1597A6">
      <w:pPr>
        <w:pBdr/>
        <w:spacing/>
        <w:ind/>
        <w:rPr>
          <w:color w:val="000000" w:themeColor="text1"/>
        </w:rPr>
      </w:pPr>
      <w:r>
        <w:rPr>
          <w:color w:val="000000" w:themeColor="text1"/>
        </w:rPr>
      </w:r>
      <w:r>
        <w:rPr>
          <w:color w:val="000000" w:themeColor="text1"/>
        </w:rPr>
      </w:r>
      <w:r>
        <w:rPr>
          <w:color w:val="000000" w:themeColor="text1"/>
        </w:rPr>
      </w:r>
    </w:p>
    <w:p w14:paraId="43678FF9" w14:textId="770B2709">
      <w:pPr>
        <w:pBdr/>
        <w:spacing/>
        <w:ind/>
        <w:rPr>
          <w:color w:val="000000" w:themeColor="text1"/>
        </w:rPr>
      </w:pPr>
      <w:r>
        <w:rPr>
          <w:color w:val="000000" w:themeColor="text1"/>
        </w:rPr>
      </w:r>
      <w:r>
        <w:rPr>
          <w:color w:val="000000" w:themeColor="text1"/>
        </w:rPr>
      </w:r>
      <w:r>
        <w:rPr>
          <w:color w:val="000000" w:themeColor="text1"/>
        </w:rPr>
      </w:r>
    </w:p>
    <w:p w14:paraId="01E56D79" w14:textId="59A56F55">
      <w:pPr>
        <w:pBdr/>
        <w:spacing/>
        <w:ind/>
        <w:rPr>
          <w:color w:val="000000" w:themeColor="text1"/>
        </w:rPr>
      </w:pPr>
      <w:r>
        <w:rPr>
          <w:color w:val="000000" w:themeColor="text1"/>
        </w:rPr>
      </w:r>
      <w:r>
        <w:rPr>
          <w:color w:val="000000" w:themeColor="text1"/>
        </w:rPr>
      </w:r>
      <w:r>
        <w:rPr>
          <w:color w:val="000000" w:themeColor="text1"/>
        </w:rPr>
      </w:r>
    </w:p>
    <w:p w14:paraId="3AACE872" w14:textId="165E42B8">
      <w:pPr>
        <w:pBdr/>
        <w:spacing/>
        <w:ind/>
        <w:rPr>
          <w:color w:val="000000" w:themeColor="text1"/>
        </w:rPr>
      </w:pPr>
      <w:r>
        <w:rPr>
          <w:color w:val="000000" w:themeColor="text1"/>
        </w:rPr>
      </w:r>
      <w:r>
        <w:rPr>
          <w:color w:val="000000" w:themeColor="text1"/>
        </w:rPr>
      </w:r>
      <w:r>
        <w:rPr>
          <w:color w:val="000000" w:themeColor="text1"/>
        </w:rPr>
      </w:r>
    </w:p>
    <w:p w14:paraId="39325680" w14:textId="5B2D352E">
      <w:pPr>
        <w:pBdr/>
        <w:spacing/>
        <w:ind/>
        <w:rPr>
          <w:color w:val="000000" w:themeColor="text1"/>
        </w:rPr>
      </w:pPr>
      <w:r>
        <w:rPr>
          <w:color w:val="000000" w:themeColor="text1"/>
        </w:rPr>
      </w:r>
      <w:r>
        <w:rPr>
          <w:color w:val="000000" w:themeColor="text1"/>
        </w:rPr>
      </w:r>
      <w:r>
        <w:rPr>
          <w:color w:val="000000" w:themeColor="text1"/>
        </w:rPr>
      </w:r>
    </w:p>
    <w:p w14:paraId="705E06E4" w14:textId="623B4938">
      <w:pPr>
        <w:pBdr/>
        <w:spacing/>
        <w:ind/>
        <w:rPr>
          <w:color w:val="000000" w:themeColor="text1"/>
        </w:rPr>
      </w:pPr>
      <w:r>
        <w:rPr>
          <w:color w:val="000000" w:themeColor="text1"/>
        </w:rPr>
      </w:r>
      <w:r>
        <w:rPr>
          <w:color w:val="000000" w:themeColor="text1"/>
        </w:rPr>
      </w:r>
      <w:r>
        <w:rPr>
          <w:color w:val="000000" w:themeColor="text1"/>
        </w:rPr>
      </w:r>
    </w:p>
    <w:p w14:paraId="1774D4DE" w14:textId="78171539">
      <w:pPr>
        <w:pBdr/>
        <w:spacing/>
        <w:ind/>
        <w:rPr>
          <w:color w:val="000000" w:themeColor="text1"/>
        </w:rPr>
      </w:pPr>
      <w:r>
        <w:rPr>
          <w:color w:val="000000" w:themeColor="text1"/>
        </w:rPr>
      </w:r>
      <w:r>
        <w:rPr>
          <w:color w:val="000000" w:themeColor="text1"/>
        </w:rPr>
      </w:r>
      <w:r>
        <w:rPr>
          <w:color w:val="000000" w:themeColor="text1"/>
        </w:rPr>
      </w:r>
    </w:p>
    <w:p w14:paraId="28961DF9" w14:textId="2208B373">
      <w:pPr>
        <w:pBdr/>
        <w:spacing/>
        <w:ind/>
        <w:rPr>
          <w:color w:val="000000" w:themeColor="text1"/>
        </w:rPr>
      </w:pPr>
      <w:r>
        <w:rPr>
          <w:color w:val="000000" w:themeColor="text1"/>
        </w:rPr>
      </w:r>
      <w:r>
        <w:rPr>
          <w:color w:val="000000" w:themeColor="text1"/>
        </w:rPr>
      </w:r>
      <w:r>
        <w:rPr>
          <w:color w:val="000000" w:themeColor="text1"/>
        </w:rPr>
      </w:r>
    </w:p>
    <w:p w14:paraId="42D8FC06" w14:textId="19494354">
      <w:pPr>
        <w:pBdr/>
        <w:spacing/>
        <w:ind/>
        <w:rPr>
          <w:color w:val="000000" w:themeColor="text1"/>
        </w:rPr>
      </w:pPr>
      <w:r>
        <w:rPr>
          <w:color w:val="000000" w:themeColor="text1"/>
        </w:rPr>
      </w:r>
      <w:r>
        <w:rPr>
          <w:color w:val="000000" w:themeColor="text1"/>
        </w:rPr>
      </w:r>
      <w:r>
        <w:rPr>
          <w:color w:val="000000" w:themeColor="text1"/>
        </w:rPr>
      </w:r>
    </w:p>
    <w:p w14:paraId="2AA8BC7E" w14:textId="2653F27C">
      <w:pPr>
        <w:pBdr/>
        <w:spacing/>
        <w:ind/>
        <w:rPr>
          <w:color w:val="000000" w:themeColor="text1"/>
        </w:rPr>
      </w:pPr>
      <w:r>
        <w:rPr>
          <w:color w:val="000000" w:themeColor="text1"/>
        </w:rPr>
      </w:r>
      <w:r>
        <w:rPr>
          <w:color w:val="000000" w:themeColor="text1"/>
        </w:rPr>
      </w:r>
      <w:r>
        <w:rPr>
          <w:color w:val="000000" w:themeColor="text1"/>
        </w:rPr>
      </w:r>
    </w:p>
    <w:p w14:paraId="7D8A482C" w14:textId="4D4FDB1A">
      <w:pPr>
        <w:pBdr/>
        <w:spacing/>
        <w:ind/>
        <w:rPr>
          <w:color w:val="000000" w:themeColor="text1"/>
        </w:rPr>
      </w:pPr>
      <w:r>
        <w:rPr>
          <w:color w:val="000000" w:themeColor="text1"/>
        </w:rPr>
      </w:r>
      <w:r>
        <w:rPr>
          <w:color w:val="000000" w:themeColor="text1"/>
        </w:rPr>
      </w:r>
      <w:r>
        <w:rPr>
          <w:color w:val="000000" w:themeColor="text1"/>
        </w:rPr>
      </w:r>
    </w:p>
    <w:p w14:paraId="3C1AB090" w14:textId="66F452AF">
      <w:pPr>
        <w:pBdr/>
        <w:spacing/>
        <w:ind/>
        <w:rPr>
          <w:color w:val="000000" w:themeColor="text1"/>
        </w:rPr>
      </w:pPr>
      <w:r>
        <w:rPr>
          <w:color w:val="000000" w:themeColor="text1"/>
        </w:rPr>
      </w:r>
      <w:r>
        <w:rPr>
          <w:color w:val="000000" w:themeColor="text1"/>
        </w:rPr>
      </w:r>
      <w:r>
        <w:rPr>
          <w:color w:val="000000" w:themeColor="text1"/>
        </w:rPr>
      </w:r>
    </w:p>
    <w:p w14:paraId="461503A0" w14:textId="2F38FB3A">
      <w:pPr>
        <w:pBdr/>
        <w:spacing/>
        <w:ind/>
        <w:rPr>
          <w:color w:val="000000" w:themeColor="text1"/>
        </w:rPr>
      </w:pPr>
      <w:r>
        <w:rPr>
          <w:color w:val="000000" w:themeColor="text1"/>
        </w:rPr>
      </w:r>
      <w:r>
        <w:rPr>
          <w:color w:val="000000" w:themeColor="text1"/>
        </w:rPr>
      </w:r>
      <w:r>
        <w:rPr>
          <w:color w:val="000000" w:themeColor="text1"/>
        </w:rPr>
      </w:r>
    </w:p>
    <w:p w14:paraId="380A9B57" w14:textId="09F62616">
      <w:pPr>
        <w:pBdr/>
        <w:spacing/>
        <w:ind/>
        <w:rPr>
          <w:color w:val="000000" w:themeColor="text1"/>
        </w:rPr>
      </w:pPr>
      <w:r>
        <w:rPr>
          <w:color w:val="000000" w:themeColor="text1"/>
        </w:rPr>
      </w:r>
      <w:r>
        <w:rPr>
          <w:color w:val="000000" w:themeColor="text1"/>
        </w:rPr>
      </w:r>
      <w:r>
        <w:rPr>
          <w:color w:val="000000" w:themeColor="text1"/>
        </w:rPr>
      </w:r>
    </w:p>
    <w:p w14:paraId="431FC66D" w14:textId="350C126C">
      <w:pPr>
        <w:pBdr/>
        <w:spacing/>
        <w:ind/>
        <w:rPr>
          <w:color w:val="000000" w:themeColor="text1"/>
        </w:rPr>
      </w:pPr>
      <w:r>
        <w:rPr>
          <w:color w:val="000000" w:themeColor="text1"/>
        </w:rPr>
      </w:r>
      <w:r>
        <w:rPr>
          <w:color w:val="000000" w:themeColor="text1"/>
        </w:rPr>
      </w:r>
      <w:r>
        <w:rPr>
          <w:color w:val="000000" w:themeColor="text1"/>
        </w:rPr>
      </w:r>
    </w:p>
    <w:p w14:paraId="2B2B965F" w14:textId="42348BE2">
      <w:pPr>
        <w:pBdr/>
        <w:spacing/>
        <w:ind/>
        <w:rPr>
          <w:color w:val="000000" w:themeColor="text1"/>
        </w:rPr>
      </w:pPr>
      <w:r>
        <w:rPr>
          <w:color w:val="000000" w:themeColor="text1"/>
        </w:rPr>
      </w:r>
      <w:r>
        <w:rPr>
          <w:color w:val="000000" w:themeColor="text1"/>
        </w:rPr>
      </w:r>
      <w:r>
        <w:rPr>
          <w:color w:val="000000" w:themeColor="text1"/>
        </w:rPr>
      </w:r>
    </w:p>
    <w:p w14:paraId="74E740FA" w14:textId="66B4BBE4">
      <w:pPr>
        <w:pBdr/>
        <w:spacing/>
        <w:ind/>
        <w:rPr>
          <w:color w:val="000000" w:themeColor="text1"/>
        </w:rPr>
      </w:pPr>
      <w:r>
        <w:rPr>
          <w:color w:val="000000" w:themeColor="text1"/>
        </w:rPr>
      </w:r>
      <w:r>
        <w:rPr>
          <w:color w:val="000000" w:themeColor="text1"/>
        </w:rPr>
      </w:r>
      <w:r>
        <w:rPr>
          <w:color w:val="000000" w:themeColor="text1"/>
        </w:rPr>
      </w:r>
    </w:p>
    <w:p w14:paraId="3E990A72" w14:textId="0B21FABF">
      <w:pPr>
        <w:pBdr/>
        <w:spacing/>
        <w:ind/>
        <w:rPr>
          <w:color w:val="000000" w:themeColor="text1"/>
        </w:rPr>
      </w:pPr>
      <w:r>
        <w:rPr>
          <w:color w:val="000000" w:themeColor="text1"/>
        </w:rPr>
      </w:r>
      <w:r>
        <w:rPr>
          <w:color w:val="000000" w:themeColor="text1"/>
        </w:rPr>
      </w:r>
      <w:r>
        <w:rPr>
          <w:color w:val="000000" w:themeColor="text1"/>
        </w:rPr>
      </w:r>
    </w:p>
    <w:p w14:paraId="7F03DBE5" w14:textId="5217D395">
      <w:pPr>
        <w:pBdr/>
        <w:spacing/>
        <w:ind/>
        <w:rPr>
          <w:color w:val="000000" w:themeColor="text1"/>
        </w:rPr>
      </w:pPr>
      <w:r>
        <w:rPr>
          <w:color w:val="000000" w:themeColor="text1"/>
        </w:rPr>
      </w:r>
      <w:r>
        <w:rPr>
          <w:color w:val="000000" w:themeColor="text1"/>
        </w:rPr>
      </w:r>
      <w:r>
        <w:rPr>
          <w:color w:val="000000" w:themeColor="text1"/>
        </w:rPr>
      </w:r>
    </w:p>
    <w:p w14:paraId="771CCA7A" w14:textId="269091E0">
      <w:pPr>
        <w:pBdr/>
        <w:spacing/>
        <w:ind/>
        <w:rPr>
          <w:color w:val="000000" w:themeColor="text1"/>
        </w:rPr>
      </w:pPr>
      <w:r>
        <w:rPr>
          <w:color w:val="000000" w:themeColor="text1"/>
        </w:rPr>
      </w:r>
      <w:r>
        <w:rPr>
          <w:color w:val="000000" w:themeColor="text1"/>
        </w:rPr>
      </w:r>
      <w:r>
        <w:rPr>
          <w:color w:val="000000" w:themeColor="text1"/>
        </w:rPr>
      </w:r>
    </w:p>
    <w:p w14:paraId="1338F30D" w14:textId="0AD107CD">
      <w:pPr>
        <w:pBdr/>
        <w:spacing/>
        <w:ind/>
        <w:rPr>
          <w:color w:val="000000" w:themeColor="text1"/>
        </w:rPr>
      </w:pPr>
      <w:r>
        <w:rPr>
          <w:color w:val="000000" w:themeColor="text1"/>
        </w:rPr>
      </w:r>
      <w:r>
        <w:rPr>
          <w:color w:val="000000" w:themeColor="text1"/>
        </w:rPr>
      </w:r>
      <w:r>
        <w:rPr>
          <w:color w:val="000000" w:themeColor="text1"/>
        </w:rPr>
      </w:r>
    </w:p>
    <w:p w14:paraId="1025014B" w14:textId="76AF4819">
      <w:pPr>
        <w:pBdr/>
        <w:spacing/>
        <w:ind/>
        <w:rPr>
          <w:color w:val="000000" w:themeColor="text1"/>
        </w:rPr>
      </w:pPr>
      <w:r>
        <w:rPr>
          <w:color w:val="000000" w:themeColor="text1"/>
        </w:rPr>
      </w:r>
      <w:r>
        <w:rPr>
          <w:color w:val="000000" w:themeColor="text1"/>
        </w:rPr>
      </w:r>
      <w:r>
        <w:rPr>
          <w:color w:val="000000" w:themeColor="text1"/>
        </w:rPr>
      </w:r>
    </w:p>
    <w:p w14:paraId="3D6DED94" w14:textId="3D402267">
      <w:pPr>
        <w:pBdr/>
        <w:spacing/>
        <w:ind/>
        <w:rPr>
          <w:color w:val="000000" w:themeColor="text1"/>
        </w:rPr>
      </w:pPr>
      <w:r>
        <w:rPr>
          <w:color w:val="000000" w:themeColor="text1"/>
        </w:rPr>
      </w:r>
      <w:r>
        <w:rPr>
          <w:color w:val="000000" w:themeColor="text1"/>
        </w:rPr>
      </w:r>
      <w:r>
        <w:rPr>
          <w:color w:val="000000" w:themeColor="text1"/>
        </w:rPr>
      </w:r>
    </w:p>
    <w:p w14:paraId="6074A8E0" w14:textId="767F82F2">
      <w:pPr>
        <w:pBdr/>
        <w:spacing/>
        <w:ind/>
        <w:rPr>
          <w:color w:val="000000" w:themeColor="text1"/>
        </w:rPr>
      </w:pPr>
      <w:r>
        <w:rPr>
          <w:color w:val="000000" w:themeColor="text1"/>
        </w:rPr>
      </w:r>
      <w:r>
        <w:rPr>
          <w:color w:val="000000" w:themeColor="text1"/>
        </w:rPr>
      </w:r>
      <w:r>
        <w:rPr>
          <w:color w:val="000000" w:themeColor="text1"/>
        </w:rPr>
      </w:r>
    </w:p>
    <w:p w14:paraId="14CF7B7F" w14:textId="76C17B18">
      <w:pPr>
        <w:pBdr/>
        <w:spacing/>
        <w:ind/>
        <w:rPr>
          <w:color w:val="000000" w:themeColor="text1"/>
        </w:rPr>
      </w:pPr>
      <w:r>
        <w:rPr>
          <w:color w:val="000000" w:themeColor="text1"/>
        </w:rPr>
      </w:r>
      <w:r>
        <w:rPr>
          <w:color w:val="000000" w:themeColor="text1"/>
        </w:rPr>
      </w:r>
      <w:r>
        <w:rPr>
          <w:color w:val="000000" w:themeColor="text1"/>
        </w:rPr>
      </w:r>
    </w:p>
    <w:p w14:paraId="779C3E41" w14:textId="400D2B3D">
      <w:pPr>
        <w:pBdr/>
        <w:spacing/>
        <w:ind/>
        <w:rPr>
          <w:color w:val="000000" w:themeColor="text1"/>
        </w:rPr>
      </w:pPr>
      <w:r>
        <w:rPr>
          <w:color w:val="000000" w:themeColor="text1"/>
        </w:rPr>
      </w:r>
      <w:r>
        <w:rPr>
          <w:color w:val="000000" w:themeColor="text1"/>
        </w:rPr>
      </w:r>
      <w:r>
        <w:rPr>
          <w:color w:val="000000" w:themeColor="text1"/>
        </w:rPr>
      </w:r>
    </w:p>
    <w:p w14:paraId="5440A517" w14:textId="4F0A4CB4">
      <w:pPr>
        <w:pBdr/>
        <w:spacing/>
        <w:ind/>
        <w:rPr>
          <w:color w:val="000000" w:themeColor="text1"/>
        </w:rPr>
      </w:pPr>
      <w:r>
        <w:rPr>
          <w:color w:val="000000" w:themeColor="text1"/>
        </w:rPr>
      </w:r>
      <w:r>
        <w:rPr>
          <w:color w:val="000000" w:themeColor="text1"/>
        </w:rPr>
      </w:r>
      <w:r>
        <w:rPr>
          <w:color w:val="000000" w:themeColor="text1"/>
        </w:rPr>
      </w:r>
    </w:p>
    <w:p w14:paraId="592D7E10" w14:textId="414A2280">
      <w:pPr>
        <w:pBdr/>
        <w:spacing/>
        <w:ind/>
        <w:rPr>
          <w:color w:val="000000" w:themeColor="text1"/>
        </w:rPr>
      </w:pPr>
      <w:r>
        <w:rPr>
          <w:color w:val="000000" w:themeColor="text1"/>
        </w:rPr>
      </w:r>
      <w:r>
        <w:rPr>
          <w:color w:val="000000" w:themeColor="text1"/>
        </w:rPr>
      </w:r>
      <w:r>
        <w:rPr>
          <w:color w:val="000000" w:themeColor="text1"/>
        </w:rPr>
      </w:r>
    </w:p>
    <w:p w14:paraId="541A578C" w14:textId="119D87E7">
      <w:pPr>
        <w:pBdr/>
        <w:spacing/>
        <w:ind/>
        <w:rPr>
          <w:color w:val="000000" w:themeColor="text1"/>
        </w:rPr>
      </w:pPr>
      <w:r>
        <w:rPr>
          <w:color w:val="000000" w:themeColor="text1"/>
        </w:rPr>
      </w:r>
      <w:r>
        <w:rPr>
          <w:color w:val="000000" w:themeColor="text1"/>
        </w:rPr>
      </w:r>
      <w:r>
        <w:rPr>
          <w:color w:val="000000" w:themeColor="text1"/>
        </w:rPr>
      </w:r>
    </w:p>
    <w:p w14:paraId="63736DED" w14:textId="5E4D0219">
      <w:pPr>
        <w:pBdr/>
        <w:spacing/>
        <w:ind/>
        <w:rPr>
          <w:color w:val="000000" w:themeColor="text1"/>
        </w:rPr>
      </w:pPr>
      <w:r>
        <w:rPr>
          <w:color w:val="000000" w:themeColor="text1"/>
        </w:rPr>
      </w:r>
      <w:r>
        <w:rPr>
          <w:color w:val="000000" w:themeColor="text1"/>
        </w:rPr>
      </w:r>
      <w:r>
        <w:rPr>
          <w:color w:val="000000" w:themeColor="text1"/>
        </w:rPr>
      </w:r>
    </w:p>
    <w:p w14:paraId="4B567397" w14:textId="4E9D4105">
      <w:pPr>
        <w:pBdr/>
        <w:spacing/>
        <w:ind/>
        <w:rPr>
          <w:color w:val="000000" w:themeColor="text1"/>
        </w:rPr>
      </w:pPr>
      <w:r>
        <w:rPr>
          <w:color w:val="000000" w:themeColor="text1"/>
        </w:rPr>
      </w:r>
      <w:r>
        <w:rPr>
          <w:color w:val="000000" w:themeColor="text1"/>
        </w:rPr>
      </w:r>
      <w:r>
        <w:rPr>
          <w:color w:val="000000" w:themeColor="text1"/>
        </w:rPr>
      </w:r>
    </w:p>
    <w:p w14:paraId="01D43C81" w14:textId="4621D29E">
      <w:pPr>
        <w:pBdr/>
        <w:spacing/>
        <w:ind/>
        <w:rPr>
          <w:color w:val="000000" w:themeColor="text1"/>
        </w:rPr>
      </w:pPr>
      <w:r>
        <w:rPr>
          <w:color w:val="000000" w:themeColor="text1"/>
        </w:rPr>
      </w:r>
      <w:r>
        <w:rPr>
          <w:color w:val="000000" w:themeColor="text1"/>
        </w:rPr>
      </w:r>
      <w:r>
        <w:rPr>
          <w:color w:val="000000" w:themeColor="text1"/>
        </w:rPr>
      </w:r>
    </w:p>
    <w:p w14:paraId="1A99C242" w14:textId="17BE13B4">
      <w:pPr>
        <w:pBdr/>
        <w:spacing/>
        <w:ind/>
        <w:rPr>
          <w:color w:val="000000" w:themeColor="text1"/>
        </w:rPr>
      </w:pPr>
      <w:r>
        <w:rPr>
          <w:color w:val="000000" w:themeColor="text1"/>
        </w:rPr>
      </w:r>
      <w:r>
        <w:rPr>
          <w:color w:val="000000" w:themeColor="text1"/>
        </w:rPr>
      </w:r>
      <w:r>
        <w:rPr>
          <w:color w:val="000000" w:themeColor="text1"/>
        </w:rPr>
      </w:r>
    </w:p>
    <w:p w14:paraId="72069CEE" w14:textId="02BF4DAD">
      <w:pPr>
        <w:pBdr/>
        <w:spacing/>
        <w:ind/>
        <w:rPr>
          <w:color w:val="000000" w:themeColor="text1"/>
        </w:rPr>
      </w:pPr>
      <w:r>
        <w:rPr>
          <w:color w:val="000000" w:themeColor="text1"/>
        </w:rPr>
      </w:r>
      <w:r>
        <w:rPr>
          <w:color w:val="000000" w:themeColor="text1"/>
        </w:rPr>
      </w:r>
      <w:r>
        <w:rPr>
          <w:color w:val="000000" w:themeColor="text1"/>
        </w:rPr>
      </w:r>
    </w:p>
    <w:p w14:paraId="00139907" w14:textId="0AE25759">
      <w:pPr>
        <w:pBdr/>
        <w:spacing/>
        <w:ind/>
        <w:rPr>
          <w:color w:val="000000" w:themeColor="text1"/>
        </w:rPr>
      </w:pPr>
      <w:r>
        <w:rPr>
          <w:color w:val="000000" w:themeColor="text1"/>
        </w:rPr>
      </w:r>
      <w:r>
        <w:rPr>
          <w:color w:val="000000" w:themeColor="text1"/>
        </w:rPr>
      </w:r>
      <w:r>
        <w:rPr>
          <w:color w:val="000000" w:themeColor="text1"/>
        </w:rPr>
      </w:r>
    </w:p>
    <w:p w14:paraId="283DA57A" w14:textId="6002125F">
      <w:pPr>
        <w:pBdr/>
        <w:spacing/>
        <w:ind/>
        <w:rPr>
          <w:color w:val="000000" w:themeColor="text1"/>
        </w:rPr>
      </w:pPr>
      <w:r>
        <w:rPr>
          <w:color w:val="000000" w:themeColor="text1"/>
        </w:rPr>
      </w:r>
      <w:r>
        <w:rPr>
          <w:color w:val="000000" w:themeColor="text1"/>
        </w:rPr>
      </w:r>
      <w:r>
        <w:rPr>
          <w:color w:val="000000" w:themeColor="text1"/>
        </w:rPr>
      </w:r>
    </w:p>
    <w:p w14:paraId="4A87AEED" w14:textId="524E852D">
      <w:pPr>
        <w:pBdr/>
        <w:spacing/>
        <w:ind/>
        <w:rPr>
          <w:color w:val="000000" w:themeColor="text1"/>
        </w:rPr>
      </w:pPr>
      <w:r>
        <w:rPr>
          <w:color w:val="000000" w:themeColor="text1"/>
        </w:rPr>
      </w:r>
      <w:r>
        <w:rPr>
          <w:color w:val="000000" w:themeColor="text1"/>
        </w:rPr>
      </w:r>
      <w:r>
        <w:rPr>
          <w:color w:val="000000" w:themeColor="text1"/>
        </w:rPr>
      </w:r>
    </w:p>
    <w:p w14:paraId="2957E957" w14:textId="2C9F67DA">
      <w:pPr>
        <w:pBdr/>
        <w:spacing/>
        <w:ind/>
        <w:rPr>
          <w:color w:val="000000" w:themeColor="text1"/>
        </w:rPr>
      </w:pPr>
      <w:r>
        <w:rPr>
          <w:color w:val="000000" w:themeColor="text1"/>
        </w:rPr>
      </w:r>
      <w:r>
        <w:rPr>
          <w:color w:val="000000" w:themeColor="text1"/>
        </w:rPr>
      </w:r>
      <w:r>
        <w:rPr>
          <w:color w:val="000000" w:themeColor="text1"/>
        </w:rPr>
      </w:r>
    </w:p>
    <w:p w14:paraId="7A5FE757" w14:textId="4C3AE9F1">
      <w:pPr>
        <w:pBdr/>
        <w:spacing/>
        <w:ind/>
        <w:rPr>
          <w:color w:val="000000" w:themeColor="text1"/>
        </w:rPr>
      </w:pPr>
      <w:r>
        <w:rPr>
          <w:color w:val="000000" w:themeColor="text1"/>
        </w:rPr>
      </w:r>
      <w:r>
        <w:rPr>
          <w:color w:val="000000" w:themeColor="text1"/>
        </w:rPr>
      </w:r>
      <w:r>
        <w:rPr>
          <w:color w:val="000000" w:themeColor="text1"/>
        </w:rPr>
      </w:r>
    </w:p>
    <w:p w14:paraId="0B2DADC7" w14:textId="72705BFE">
      <w:pPr>
        <w:pBdr/>
        <w:spacing/>
        <w:ind/>
        <w:rPr>
          <w:color w:val="000000" w:themeColor="text1"/>
        </w:rPr>
      </w:pPr>
      <w:r>
        <w:rPr>
          <w:color w:val="000000" w:themeColor="text1"/>
        </w:rPr>
      </w:r>
      <w:r>
        <w:rPr>
          <w:color w:val="000000" w:themeColor="text1"/>
        </w:rPr>
      </w:r>
      <w:r>
        <w:rPr>
          <w:color w:val="000000" w:themeColor="text1"/>
        </w:rPr>
      </w:r>
    </w:p>
    <w:p w14:paraId="5B862206" w14:textId="43D418AC">
      <w:pPr>
        <w:pBdr/>
        <w:spacing/>
        <w:ind/>
        <w:rPr>
          <w:color w:val="000000" w:themeColor="text1"/>
        </w:rPr>
      </w:pPr>
      <w:r>
        <w:rPr>
          <w:color w:val="000000" w:themeColor="text1"/>
        </w:rPr>
      </w:r>
      <w:r>
        <w:rPr>
          <w:color w:val="000000" w:themeColor="text1"/>
        </w:rPr>
      </w:r>
      <w:r>
        <w:rPr>
          <w:color w:val="000000" w:themeColor="text1"/>
        </w:rPr>
      </w:r>
    </w:p>
    <w:p w14:paraId="3AC345D1" w14:textId="705A39C4">
      <w:pPr>
        <w:pBdr/>
        <w:spacing/>
        <w:ind/>
        <w:rPr>
          <w:color w:val="000000" w:themeColor="text1"/>
        </w:rPr>
      </w:pPr>
      <w:r>
        <w:rPr>
          <w:color w:val="000000" w:themeColor="text1"/>
        </w:rPr>
      </w:r>
      <w:r>
        <w:rPr>
          <w:color w:val="000000" w:themeColor="text1"/>
        </w:rPr>
      </w:r>
      <w:r>
        <w:rPr>
          <w:color w:val="000000" w:themeColor="text1"/>
        </w:rPr>
      </w:r>
    </w:p>
    <w:p w14:paraId="5067020C" w14:textId="1AC66B4A">
      <w:pPr>
        <w:pBdr/>
        <w:spacing/>
        <w:ind/>
        <w:rPr>
          <w:color w:val="000000" w:themeColor="text1"/>
        </w:rPr>
      </w:pPr>
      <w:r>
        <w:rPr>
          <w:color w:val="000000" w:themeColor="text1"/>
        </w:rPr>
      </w:r>
      <w:r>
        <w:rPr>
          <w:color w:val="000000" w:themeColor="text1"/>
        </w:rPr>
      </w:r>
      <w:r>
        <w:rPr>
          <w:color w:val="000000" w:themeColor="text1"/>
        </w:rPr>
      </w:r>
    </w:p>
    <w:p w14:paraId="490EC30F" w14:textId="565DF3BC">
      <w:pPr>
        <w:pBdr/>
        <w:spacing/>
        <w:ind/>
        <w:rPr>
          <w:color w:val="000000" w:themeColor="text1"/>
        </w:rPr>
      </w:pPr>
      <w:r>
        <w:rPr>
          <w:color w:val="000000" w:themeColor="text1"/>
        </w:rPr>
      </w:r>
      <w:r>
        <w:rPr>
          <w:color w:val="000000" w:themeColor="text1"/>
        </w:rPr>
      </w:r>
      <w:r>
        <w:rPr>
          <w:color w:val="000000" w:themeColor="text1"/>
        </w:rPr>
      </w:r>
    </w:p>
    <w:p w14:paraId="28A838BB" w14:textId="1F3FD88C">
      <w:pPr>
        <w:pBdr/>
        <w:tabs>
          <w:tab w:val="left" w:leader="none" w:pos="1287"/>
        </w:tabs>
        <w:spacing/>
        <w:ind w:firstLine="0"/>
        <w:jc w:val="center"/>
        <w:rPr>
          <w:rFonts w:asciiTheme="majorHAnsi" w:hAnsiTheme="majorHAnsi" w:cstheme="majorHAnsi"/>
          <w:b/>
          <w:bCs/>
          <w:color w:val="000000" w:themeColor="text1"/>
        </w:rPr>
      </w:pPr>
      <w:r>
        <w:rPr>
          <w:rFonts w:asciiTheme="majorHAnsi" w:hAnsiTheme="majorHAnsi" w:cstheme="majorHAnsi"/>
          <w:b/>
          <w:bCs/>
          <w:color w:val="000000" w:themeColor="text1"/>
        </w:rPr>
        <w:t xml:space="preserve">PROJET PROFESSIONNEL &amp; ORIENTATION S5 </w:t>
      </w:r>
      <w:r>
        <w:rPr>
          <w:rFonts w:asciiTheme="majorHAnsi" w:hAnsiTheme="majorHAnsi" w:cstheme="majorHAnsi"/>
          <w:b/>
          <w:bCs/>
          <w:color w:val="ff0000"/>
        </w:rPr>
        <w:t xml:space="preserve">(1 choix) </w:t>
      </w:r>
      <w:r>
        <w:rPr>
          <w:rFonts w:asciiTheme="majorHAnsi" w:hAnsiTheme="majorHAnsi" w:cstheme="majorHAnsi"/>
          <w:b/>
          <w:bCs/>
          <w:color w:val="000000" w:themeColor="text1"/>
        </w:rPr>
        <w:t xml:space="preserve">:</w:t>
      </w:r>
      <w:r>
        <w:rPr>
          <w:rFonts w:asciiTheme="majorHAnsi" w:hAnsiTheme="majorHAnsi" w:cstheme="majorHAnsi"/>
          <w:b/>
          <w:bCs/>
          <w:color w:val="000000" w:themeColor="text1"/>
        </w:rPr>
      </w:r>
      <w:r>
        <w:rPr>
          <w:rFonts w:asciiTheme="majorHAnsi" w:hAnsiTheme="majorHAnsi" w:cstheme="majorHAnsi"/>
          <w:b/>
          <w:bCs/>
          <w:color w:val="000000" w:themeColor="text1"/>
        </w:rPr>
      </w:r>
    </w:p>
    <w:p w14:paraId="6F634401" w14:textId="77777777">
      <w:pPr>
        <w:pBdr/>
        <w:tabs>
          <w:tab w:val="left" w:leader="none" w:pos="1287"/>
        </w:tabs>
        <w:spacing/>
        <w:ind w:firstLine="0"/>
        <w:jc w:val="center"/>
        <w:rPr>
          <w:rFonts w:asciiTheme="majorHAnsi" w:hAnsiTheme="majorHAnsi" w:cstheme="majorHAnsi"/>
          <w:color w:val="000000" w:themeColor="text1"/>
        </w:rPr>
      </w:pPr>
      <w:r>
        <w:rPr>
          <w:rFonts w:asciiTheme="majorHAnsi" w:hAnsiTheme="majorHAnsi" w:cstheme="majorHAnsi"/>
          <w:color w:val="000000" w:themeColor="text1"/>
        </w:rPr>
      </w:r>
      <w:r>
        <w:rPr>
          <w:rFonts w:asciiTheme="majorHAnsi" w:hAnsiTheme="majorHAnsi" w:cstheme="majorHAnsi"/>
          <w:color w:val="000000" w:themeColor="text1"/>
        </w:rPr>
      </w:r>
      <w:r>
        <w:rPr>
          <w:rFonts w:asciiTheme="majorHAnsi" w:hAnsiTheme="majorHAnsi" w:cstheme="majorHAnsi"/>
          <w:color w:val="000000" w:themeColor="text1"/>
        </w:rPr>
      </w:r>
    </w:p>
    <w:tbl>
      <w:tblPr>
        <w:tblStyle w:val="1166"/>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10B4F1B7" w14:textId="77777777">
            <w:pPr>
              <w:pBdr>
                <w:top w:val="none" w:color="000000" w:sz="4" w:space="0"/>
                <w:left w:val="none" w:color="000000" w:sz="4" w:space="0"/>
                <w:bottom w:val="none" w:color="000000" w:sz="4" w:space="0"/>
                <w:right w:val="none" w:color="000000" w:sz="4" w:space="0"/>
              </w:pBdr>
              <w:spacing/>
              <w:ind/>
              <w:rPr/>
            </w:pPr>
            <w:r>
              <w:rPr>
                <w:rFonts w:ascii="Calibri Light" w:hAnsi="Calibri Light" w:eastAsia="Calibri Light" w:cs="Calibri Light"/>
                <w:b/>
                <w:color w:val="000000"/>
                <w:sz w:val="20"/>
              </w:rPr>
              <w:t xml:space="preserve"> </w:t>
            </w: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8A9AE02"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 </w:t>
            </w:r>
            <w:r/>
          </w:p>
        </w:tc>
      </w:tr>
      <w:tr>
        <w:trPr>
          <w:trHeight w:val="220"/>
        </w:trPr>
        <w:tc>
          <w:tcPr>
            <w:shd w:val="clear" w:color="auto" w:fill="auto"/>
            <w:tcBorders>
              <w:left w:val="single" w:color="000000" w:sz="4" w:space="0"/>
              <w:bottom w:val="single" w:color="000000" w:sz="4" w:space="0"/>
            </w:tcBorders>
            <w:tcW w:w="3402" w:type="dxa"/>
          </w:tcPr>
          <w:p w14:paraId="436304B5"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Code</w:t>
            </w:r>
            <w:r/>
          </w:p>
        </w:tc>
        <w:tc>
          <w:tcPr>
            <w:shd w:val="clear" w:color="auto" w:fill="auto"/>
            <w:tcBorders>
              <w:left w:val="single" w:color="000000" w:sz="4" w:space="0"/>
              <w:bottom w:val="single" w:color="000000" w:sz="4" w:space="0"/>
              <w:right w:val="single" w:color="000000" w:sz="4" w:space="0"/>
            </w:tcBorders>
            <w:tcW w:w="6236" w:type="dxa"/>
          </w:tcPr>
          <w:p w14:paraId="48B8674C"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HPS6U30</w:t>
            </w:r>
            <w:r/>
          </w:p>
        </w:tc>
      </w:tr>
      <w:tr>
        <w:trPr/>
        <w:tc>
          <w:tcPr>
            <w:shd w:val="clear" w:color="auto" w:fill="auto"/>
            <w:tcBorders>
              <w:left w:val="single" w:color="000000" w:sz="4" w:space="0"/>
              <w:bottom w:val="single" w:color="000000" w:sz="4" w:space="0"/>
            </w:tcBorders>
            <w:tcW w:w="3402" w:type="dxa"/>
          </w:tcPr>
          <w:p w14:paraId="24D91267"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Intitulé </w:t>
            </w:r>
            <w:r/>
          </w:p>
        </w:tc>
        <w:tc>
          <w:tcPr>
            <w:shd w:val="clear" w:color="auto" w:fill="auto"/>
            <w:tcBorders>
              <w:left w:val="single" w:color="000000" w:sz="4" w:space="0"/>
              <w:bottom w:val="single" w:color="000000" w:sz="4" w:space="0"/>
              <w:right w:val="single" w:color="000000" w:sz="4" w:space="0"/>
            </w:tcBorders>
            <w:tcW w:w="6236" w:type="dxa"/>
          </w:tcPr>
          <w:p w14:paraId="36A3CE8A"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Clinique PPO</w:t>
            </w:r>
            <w:r/>
          </w:p>
        </w:tc>
      </w:tr>
      <w:tr>
        <w:trPr/>
        <w:tc>
          <w:tcPr>
            <w:shd w:val="clear" w:color="auto" w:fill="auto"/>
            <w:tcBorders>
              <w:top w:val="single" w:color="000000" w:sz="4" w:space="0"/>
              <w:left w:val="single" w:color="000000" w:sz="4" w:space="0"/>
              <w:bottom w:val="single" w:color="000000" w:sz="4" w:space="0"/>
            </w:tcBorders>
            <w:tcW w:w="3402" w:type="dxa"/>
          </w:tcPr>
          <w:p w14:paraId="74571694"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Mots-clés </w:t>
            </w: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C0A2F1D"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Pratique, Ecoute, Transfert, Psychologie clinique, Psychanalyse, Psychothérapies</w:t>
            </w:r>
            <w:r/>
          </w:p>
        </w:tc>
      </w:tr>
      <w:tr>
        <w:trPr/>
        <w:tc>
          <w:tcPr>
            <w:shd w:val="clear" w:color="auto" w:fill="auto"/>
            <w:tcBorders>
              <w:top w:val="single" w:color="000000" w:sz="4" w:space="0"/>
              <w:left w:val="single" w:color="000000" w:sz="4" w:space="0"/>
              <w:bottom w:val="single" w:color="000000" w:sz="4" w:space="0"/>
            </w:tcBorders>
            <w:tcW w:w="3402" w:type="dxa"/>
          </w:tcPr>
          <w:p w14:paraId="49DF69DF"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Description du contenu de l’enseignement </w:t>
            </w: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AED69D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eastAsia="Calibri Light" w:cs="Calibri Light"/>
                <w:color w:val="000000"/>
                <w:sz w:val="20"/>
                <w:szCs w:val="20"/>
                <w:highlight w:val="none"/>
              </w:rPr>
            </w:pPr>
            <w:r>
              <w:rPr>
                <w:rFonts w:ascii="Calibri Light" w:hAnsi="Calibri Light" w:eastAsia="Calibri Light" w:cs="Calibri Light"/>
                <w:color w:val="000000"/>
                <w:sz w:val="20"/>
              </w:rPr>
              <w:t xml:space="preserve">Analyse des pratiques et supervision des stages en vue de la formation du psychologue clinicien (stages réalisés en L3 en observation, et en master selon une mise en situation professionnelle). </w:t>
            </w:r>
            <w:r>
              <w:rPr>
                <w:rFonts w:ascii="Calibri Light" w:hAnsi="Calibri Light" w:eastAsia="Calibri Light" w:cs="Calibri Light"/>
                <w:color w:val="000000"/>
                <w:sz w:val="20"/>
                <w:szCs w:val="20"/>
                <w:highlight w:val="none"/>
              </w:rPr>
            </w:r>
            <w:r>
              <w:rPr>
                <w:rFonts w:ascii="Calibri Light" w:hAnsi="Calibri Light" w:eastAsia="Calibri Light" w:cs="Calibri Light"/>
                <w:color w:val="000000"/>
                <w:sz w:val="20"/>
                <w:szCs w:val="20"/>
                <w:highlight w:val="none"/>
              </w:rPr>
            </w:r>
          </w:p>
          <w:p w14:paraId="4476EB9F">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eastAsia="Calibri Light" w:cs="Calibri Light"/>
                <w:color w:val="000000"/>
                <w:sz w:val="20"/>
                <w:szCs w:val="20"/>
                <w:highlight w:val="none"/>
              </w:rPr>
            </w:pPr>
            <w:r>
              <w:rPr>
                <w:rFonts w:ascii="Calibri Light" w:hAnsi="Calibri Light" w:eastAsia="Calibri Light" w:cs="Calibri Light"/>
                <w:color w:val="000000"/>
                <w:sz w:val="20"/>
                <w:highlight w:val="none"/>
              </w:rPr>
              <w:t xml:space="preserve">Le stage de 80h d’observation et de découverte de L3 </w:t>
            </w:r>
            <w:r>
              <w:rPr>
                <w:rFonts w:ascii="Calibri Light" w:hAnsi="Calibri Light" w:eastAsia="Calibri Light" w:cs="Calibri Light"/>
                <w:color w:val="000000"/>
                <w:sz w:val="20"/>
                <w:highlight w:val="none"/>
              </w:rPr>
              <w:t xml:space="preserve">donnant lieu au rapport</w:t>
            </w:r>
            <w:r>
              <w:rPr>
                <w:rFonts w:ascii="Calibri Light" w:hAnsi="Calibri Light" w:eastAsia="Calibri Light" w:cs="Calibri Light"/>
                <w:color w:val="000000"/>
                <w:sz w:val="20"/>
                <w:highlight w:val="none"/>
              </w:rPr>
              <w:t xml:space="preserve"> doit prendre place en institution obligatoirement (pas en libéral), avec un psychologue clinicien (obligatoire). Que le psychologue ait plus de trois ans d’ancienneté n’est pas un exigence pour la L3 (seulement pour le master).</w:t>
            </w:r>
            <w:r>
              <w:rPr>
                <w:rFonts w:ascii="Calibri Light" w:hAnsi="Calibri Light" w:eastAsia="Calibri Light" w:cs="Calibri Light"/>
                <w:color w:val="000000"/>
                <w:sz w:val="20"/>
                <w:szCs w:val="20"/>
                <w:highlight w:val="none"/>
              </w:rPr>
            </w:r>
            <w:r>
              <w:rPr>
                <w:rFonts w:ascii="Calibri Light" w:hAnsi="Calibri Light" w:eastAsia="Calibri Light" w:cs="Calibri Light"/>
                <w:color w:val="000000"/>
                <w:sz w:val="20"/>
                <w:szCs w:val="20"/>
                <w:highlight w:val="none"/>
              </w:rPr>
            </w:r>
          </w:p>
          <w:p w14:paraId="1F436E7C">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eastAsia="Calibri Light" w:cs="Calibri Light"/>
                <w:color w:val="000000"/>
                <w:sz w:val="20"/>
                <w:szCs w:val="20"/>
                <w:highlight w:val="none"/>
              </w:rPr>
            </w:pPr>
            <w:r>
              <w:rPr>
                <w:rFonts w:ascii="Calibri Light" w:hAnsi="Calibri Light" w:eastAsia="Calibri Light" w:cs="Calibri Light"/>
                <w:color w:val="000000"/>
                <w:sz w:val="20"/>
                <w:highlight w:val="none"/>
              </w:rPr>
              <w:t xml:space="preserve">Le stage donnant lieu au rapport doit se passer au S6 obligatoirement par cohérence pédagogique avec les supervisions  et se terminer au plus tard au 1er juin (aucune dérogation ne doit </w:t>
            </w:r>
            <w:r>
              <w:rPr>
                <w:rFonts w:ascii="Calibri Light" w:hAnsi="Calibri Light" w:eastAsia="Calibri Light" w:cs="Calibri Light"/>
                <w:color w:val="000000"/>
                <w:sz w:val="20"/>
                <w:highlight w:val="none"/>
              </w:rPr>
              <w:t xml:space="preserve">être accordée).</w:t>
            </w:r>
            <w:r>
              <w:rPr>
                <w:rFonts w:ascii="Calibri Light" w:hAnsi="Calibri Light" w:eastAsia="Calibri Light" w:cs="Calibri Light"/>
                <w:color w:val="000000"/>
                <w:sz w:val="20"/>
                <w:szCs w:val="20"/>
                <w:highlight w:val="none"/>
              </w:rPr>
            </w:r>
            <w:r>
              <w:rPr>
                <w:rFonts w:ascii="Calibri Light" w:hAnsi="Calibri Light" w:eastAsia="Calibri Light" w:cs="Calibri Light"/>
                <w:color w:val="000000"/>
                <w:sz w:val="20"/>
                <w:szCs w:val="20"/>
                <w:highlight w:val="none"/>
              </w:rPr>
            </w:r>
          </w:p>
          <w:p w14:paraId="1FC9842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highlight w:val="none"/>
              </w:rPr>
              <w:t xml:space="preserve">Les conventions seront signées avec le responsable de groupe du S6 à la suite des IP du S6.</w:t>
            </w:r>
            <w:r>
              <w:rPr>
                <w:rFonts w:ascii="Calibri Light" w:hAnsi="Calibri Light" w:eastAsia="Calibri Light" w:cs="Calibri Light"/>
                <w:color w:val="000000"/>
                <w:sz w:val="20"/>
                <w:highlight w:val="none"/>
              </w:rPr>
            </w:r>
            <w:r/>
          </w:p>
          <w:p w14:paraId="2102A1DF"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Rappel et articulation des positions cliniques aux fondements théoriques, métapsychologies et/ou cadres théoriques qui les orientent.</w:t>
            </w:r>
            <w:r/>
          </w:p>
          <w:p w14:paraId="7D089B09"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Rappel et articulation des positions cliniq</w:t>
            </w:r>
            <w:r>
              <w:rPr>
                <w:rFonts w:ascii="Calibri Light" w:hAnsi="Calibri Light" w:eastAsia="Calibri Light" w:cs="Calibri Light"/>
                <w:color w:val="000000"/>
                <w:sz w:val="20"/>
              </w:rPr>
              <w:t xml:space="preserve">ues avec les grands repères théoriques permettant de penser la clinique de l’enfant, de l’adolescent et de l’adulte. Articulation des positions cliniques avec les concepts fondamentaux et les constructions de dispositifs cliniques et psychothérapeutiques. </w:t>
            </w:r>
            <w:r/>
          </w:p>
          <w:p w14:paraId="4E309CDB"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Trois approches distinctes (et leurs soubassements théoriques) seront présentées parmi lesquelles l’étudiant devra faire un choix</w:t>
            </w:r>
            <w:r/>
          </w:p>
          <w:p w14:paraId="39FE6FAD" w14:textId="77777777">
            <w:pPr>
              <w:numPr>
                <w:ilvl w:val="0"/>
                <w:numId w:val="30"/>
              </w:numPr>
              <w:pBdr>
                <w:top w:val="none" w:color="000000" w:sz="4" w:space="0"/>
                <w:left w:val="none" w:color="000000" w:sz="4" w:space="0"/>
                <w:bottom w:val="none" w:color="000000" w:sz="4" w:space="0"/>
                <w:right w:val="none" w:color="000000" w:sz="4" w:space="0"/>
                <w:between w:val="none" w:color="000000" w:sz="4" w:space="0"/>
              </w:pBdr>
              <w:spacing/>
              <w:ind/>
              <w:rPr/>
            </w:pPr>
            <w:r>
              <w:rPr>
                <w:rFonts w:ascii="Calibri Light" w:hAnsi="Calibri Light" w:eastAsia="Calibri Light" w:cs="Calibri Light"/>
                <w:color w:val="000000"/>
                <w:sz w:val="20"/>
              </w:rPr>
              <w:t xml:space="preserve">Pratique psychanalytique (transfert, symptôme, demande, écoute, psychose, névrose, enfant, adulte, construction de cas et écriture de la pratique)</w:t>
            </w:r>
            <w:r/>
          </w:p>
          <w:p w14:paraId="710F0BD3" w14:textId="77777777">
            <w:pPr>
              <w:numPr>
                <w:ilvl w:val="0"/>
                <w:numId w:val="30"/>
              </w:numPr>
              <w:pBdr>
                <w:top w:val="none" w:color="000000" w:sz="4" w:space="0"/>
                <w:left w:val="none" w:color="000000" w:sz="4" w:space="0"/>
                <w:bottom w:val="none" w:color="000000" w:sz="4" w:space="0"/>
                <w:right w:val="none" w:color="000000" w:sz="4" w:space="0"/>
                <w:between w:val="none" w:color="000000" w:sz="4" w:space="0"/>
              </w:pBdr>
              <w:spacing/>
              <w:ind/>
              <w:rPr/>
            </w:pPr>
            <w:r>
              <w:rPr>
                <w:rFonts w:ascii="Calibri Light" w:hAnsi="Calibri Light" w:eastAsia="Calibri Light" w:cs="Calibri Light"/>
                <w:color w:val="000000"/>
                <w:sz w:val="20"/>
              </w:rPr>
              <w:t xml:space="preserve">Pratique clinique intégrative dans différents contextes (psychiatriques, somatiques, addictions, médico-social)</w:t>
            </w:r>
            <w:r/>
          </w:p>
          <w:p w14:paraId="69457E88"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Pratique psychanalytique et humaniste individuelle et groupale et prise en compte du fonctionnement institutionnel.</w:t>
            </w:r>
            <w:r/>
          </w:p>
        </w:tc>
      </w:tr>
      <w:tr>
        <w:trPr/>
        <w:tc>
          <w:tcPr>
            <w:shd w:val="clear" w:color="auto" w:fill="auto"/>
            <w:tcBorders>
              <w:top w:val="single" w:color="000000" w:sz="4" w:space="0"/>
              <w:left w:val="single" w:color="000000" w:sz="4" w:space="0"/>
              <w:bottom w:val="single" w:color="000000" w:sz="4" w:space="0"/>
            </w:tcBorders>
            <w:tcW w:w="3402" w:type="dxa"/>
          </w:tcPr>
          <w:p w14:paraId="61772665"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Nombre de crédits</w:t>
            </w: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3308DE03"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3 ECTS</w:t>
            </w:r>
            <w:r/>
          </w:p>
        </w:tc>
      </w:tr>
      <w:tr>
        <w:trPr/>
        <w:tc>
          <w:tcPr>
            <w:shd w:val="clear" w:color="auto" w:fill="e6e6e6"/>
            <w:tcBorders>
              <w:top w:val="single" w:color="000000" w:sz="4" w:space="0"/>
              <w:left w:val="single" w:color="000000" w:sz="4" w:space="0"/>
              <w:bottom w:val="single" w:color="000000" w:sz="4" w:space="0"/>
            </w:tcBorders>
            <w:tcW w:w="3402" w:type="dxa"/>
          </w:tcPr>
          <w:p w14:paraId="283D853B" w14:textId="77777777">
            <w:pPr>
              <w:pBdr>
                <w:top w:val="none" w:color="000000" w:sz="4" w:space="0"/>
                <w:left w:val="none" w:color="000000" w:sz="4" w:space="0"/>
                <w:bottom w:val="none" w:color="000000" w:sz="4" w:space="0"/>
                <w:right w:val="none" w:color="000000" w:sz="4" w:space="0"/>
              </w:pBdr>
              <w:spacing/>
              <w:ind/>
              <w:rPr/>
            </w:pPr>
            <w:r>
              <w:rPr>
                <w:rFonts w:ascii="Calibri Light" w:hAnsi="Calibri Light" w:eastAsia="Calibri Light" w:cs="Calibri Light"/>
                <w:b/>
                <w:color w:val="000000"/>
                <w:sz w:val="20"/>
              </w:rPr>
              <w:t xml:space="preserve"> </w:t>
            </w: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B2CE50D"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 </w:t>
            </w:r>
            <w:r/>
          </w:p>
        </w:tc>
      </w:tr>
      <w:tr>
        <w:trPr/>
        <w:tc>
          <w:tcPr>
            <w:shd w:val="clear" w:color="auto" w:fill="auto"/>
            <w:tcBorders>
              <w:left w:val="single" w:color="000000" w:sz="4" w:space="0"/>
              <w:bottom w:val="single" w:color="000000" w:sz="4" w:space="0"/>
            </w:tcBorders>
            <w:tcW w:w="3402" w:type="dxa"/>
          </w:tcPr>
          <w:p w14:paraId="37CDB27A"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Compétences à acquérir</w:t>
            </w:r>
            <w:r/>
          </w:p>
        </w:tc>
        <w:tc>
          <w:tcPr>
            <w:shd w:val="clear" w:color="auto" w:fill="auto"/>
            <w:tcBorders>
              <w:left w:val="single" w:color="000000" w:sz="4" w:space="0"/>
              <w:bottom w:val="single" w:color="000000" w:sz="4" w:space="0"/>
              <w:right w:val="single" w:color="000000" w:sz="4" w:space="0"/>
            </w:tcBorders>
            <w:tcW w:w="6236" w:type="dxa"/>
          </w:tcPr>
          <w:p w14:paraId="6944C7E3"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Introduction à la pratique clinique, à l’analyse de prat</w:t>
            </w:r>
            <w:r>
              <w:rPr>
                <w:rFonts w:ascii="Calibri Light" w:hAnsi="Calibri Light" w:eastAsia="Calibri Light" w:cs="Calibri Light"/>
                <w:color w:val="000000"/>
                <w:sz w:val="20"/>
              </w:rPr>
              <w:t xml:space="preserve">ique et la supervision des stages et mises en situation d’observation des étudiants (stages de 80h) Mise en articulation de la découverte des patients et de l’écoute de ces derniers avec les soubassements théoriques qui orientent les différentes cliniques.</w:t>
            </w:r>
            <w:r/>
          </w:p>
          <w:p w14:paraId="0EB539F1"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Mise en tension de la « surprise clinique » issue de la re</w:t>
            </w:r>
            <w:r>
              <w:rPr>
                <w:rFonts w:ascii="Calibri Light" w:hAnsi="Calibri Light" w:eastAsia="Calibri Light" w:cs="Calibri Light"/>
                <w:color w:val="000000"/>
                <w:sz w:val="20"/>
              </w:rPr>
              <w:t xml:space="preserve">ncontre avec les patients avec les connaissances des concepts (transfert, symptôme, …), des grands modèles théoriques et des méthodes des dispositifs cliniques et psychothérapeutiques qui permettent l’écoute clinique, en situation individuelle et de groupe</w:t>
            </w:r>
            <w:r/>
          </w:p>
        </w:tc>
      </w:tr>
      <w:tr>
        <w:trPr/>
        <w:tc>
          <w:tcPr>
            <w:shd w:val="clear" w:color="auto" w:fill="e6e6e6"/>
            <w:tcBorders>
              <w:top w:val="single" w:color="000000" w:sz="4" w:space="0"/>
              <w:left w:val="single" w:color="000000" w:sz="4" w:space="0"/>
              <w:bottom w:val="single" w:color="000000" w:sz="4" w:space="0"/>
            </w:tcBorders>
            <w:tcW w:w="3402" w:type="dxa"/>
          </w:tcPr>
          <w:p w14:paraId="19D264D9"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 </w:t>
            </w: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7738723"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 </w:t>
            </w:r>
            <w:r/>
          </w:p>
        </w:tc>
      </w:tr>
      <w:tr>
        <w:trPr/>
        <w:tc>
          <w:tcPr>
            <w:shd w:val="clear" w:color="auto" w:fill="auto"/>
            <w:tcBorders>
              <w:left w:val="single" w:color="000000" w:sz="4" w:space="0"/>
              <w:bottom w:val="single" w:color="000000" w:sz="4" w:space="0"/>
            </w:tcBorders>
            <w:tcW w:w="3402" w:type="dxa"/>
          </w:tcPr>
          <w:p w14:paraId="2F1A7F72"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Responsable / Contact</w:t>
            </w:r>
            <w:r/>
          </w:p>
        </w:tc>
        <w:tc>
          <w:tcPr>
            <w:shd w:val="clear" w:color="auto" w:fill="auto"/>
            <w:tcBorders>
              <w:left w:val="single" w:color="000000" w:sz="4" w:space="0"/>
              <w:bottom w:val="single" w:color="000000" w:sz="4" w:space="0"/>
              <w:right w:val="single" w:color="000000" w:sz="4" w:space="0"/>
            </w:tcBorders>
            <w:tcW w:w="6236" w:type="dxa"/>
          </w:tcPr>
          <w:p w14:paraId="26981327"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Marie Lenormand &amp; Vincent </w:t>
            </w:r>
            <w:r>
              <w:rPr>
                <w:rFonts w:ascii="Calibri Light" w:hAnsi="Calibri Light" w:eastAsia="Calibri Light" w:cs="Calibri Light"/>
                <w:color w:val="000000"/>
                <w:sz w:val="20"/>
              </w:rPr>
              <w:t xml:space="preserve">Bréjard</w:t>
            </w:r>
            <w:r/>
          </w:p>
        </w:tc>
      </w:tr>
      <w:tr>
        <w:trPr/>
        <w:tc>
          <w:tcPr>
            <w:shd w:val="clear" w:color="auto" w:fill="auto"/>
            <w:tcBorders>
              <w:left w:val="single" w:color="000000" w:sz="4" w:space="0"/>
              <w:bottom w:val="single" w:color="000000" w:sz="4" w:space="0"/>
            </w:tcBorders>
            <w:tcW w:w="3402" w:type="dxa"/>
          </w:tcPr>
          <w:p w14:paraId="7780D598"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Intervenants</w:t>
            </w:r>
            <w:r/>
          </w:p>
        </w:tc>
        <w:tc>
          <w:tcPr>
            <w:shd w:val="clear" w:color="auto" w:fill="auto"/>
            <w:tcBorders>
              <w:left w:val="single" w:color="000000" w:sz="4" w:space="0"/>
              <w:bottom w:val="single" w:color="000000" w:sz="4" w:space="0"/>
              <w:right w:val="single" w:color="000000" w:sz="4" w:space="0"/>
            </w:tcBorders>
            <w:tcW w:w="6236" w:type="dxa"/>
          </w:tcPr>
          <w:p w14:paraId="248F214E"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Multiples (EC et professionnels)</w:t>
            </w:r>
            <w:r/>
          </w:p>
        </w:tc>
      </w:tr>
      <w:tr>
        <w:trPr/>
        <w:tc>
          <w:tcPr>
            <w:shd w:val="clear" w:color="auto" w:fill="auto"/>
            <w:tcBorders>
              <w:left w:val="single" w:color="000000" w:sz="4" w:space="0"/>
              <w:bottom w:val="single" w:color="000000" w:sz="4" w:space="0"/>
            </w:tcBorders>
            <w:tcW w:w="3402" w:type="dxa"/>
          </w:tcPr>
          <w:p w14:paraId="1385BA10"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Modalités d’organisation et de suivi </w:t>
            </w:r>
            <w:r/>
          </w:p>
        </w:tc>
        <w:tc>
          <w:tcPr>
            <w:shd w:val="clear" w:color="auto" w:fill="auto"/>
            <w:tcBorders>
              <w:left w:val="single" w:color="000000" w:sz="4" w:space="0"/>
              <w:bottom w:val="single" w:color="000000" w:sz="4" w:space="0"/>
              <w:right w:val="single" w:color="000000" w:sz="4" w:space="0"/>
            </w:tcBorders>
            <w:tcW w:w="6236" w:type="dxa"/>
          </w:tcPr>
          <w:p w14:paraId="0C3FA273"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pPr>
            <w:r>
              <w:rPr>
                <w:rFonts w:ascii="Calibri Light" w:hAnsi="Calibri Light" w:eastAsia="Calibri Light" w:cs="Calibri Light"/>
                <w:color w:val="000000"/>
                <w:sz w:val="20"/>
              </w:rPr>
              <w:t xml:space="preserve">Rapport de stage pour les TD</w:t>
            </w:r>
            <w:r/>
          </w:p>
        </w:tc>
      </w:tr>
      <w:tr>
        <w:trPr/>
        <w:tc>
          <w:tcPr>
            <w:shd w:val="clear" w:color="auto" w:fill="auto"/>
            <w:tcBorders>
              <w:top w:val="single" w:color="000000" w:sz="4" w:space="0"/>
              <w:left w:val="single" w:color="000000" w:sz="4" w:space="0"/>
              <w:bottom w:val="single" w:color="000000" w:sz="4" w:space="0"/>
            </w:tcBorders>
            <w:tcW w:w="3402" w:type="dxa"/>
          </w:tcPr>
          <w:p w14:paraId="5F08DCE0"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Modalités pédagogiques </w:t>
            </w: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20E6C1E"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Supervision et analyse de pratique en petits groupes en td </w:t>
            </w:r>
            <w:r/>
          </w:p>
        </w:tc>
      </w:tr>
      <w:tr>
        <w:trPr/>
        <w:tc>
          <w:tcPr>
            <w:shd w:val="clear" w:color="auto" w:fill="e6e6e6"/>
            <w:tcBorders>
              <w:top w:val="single" w:color="000000" w:sz="4" w:space="0"/>
              <w:left w:val="single" w:color="000000" w:sz="4" w:space="0"/>
              <w:bottom w:val="single" w:color="000000" w:sz="4" w:space="0"/>
            </w:tcBorders>
            <w:tcW w:w="3402" w:type="dxa"/>
          </w:tcPr>
          <w:p w14:paraId="4F68F0CC"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10"/>
              </w:rPr>
              <w:t xml:space="preserve"> </w:t>
            </w: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7EA9B21"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10"/>
              </w:rPr>
              <w:t xml:space="preserve"> </w:t>
            </w:r>
            <w:r/>
          </w:p>
        </w:tc>
      </w:tr>
      <w:tr>
        <w:trPr/>
        <w:tc>
          <w:tcPr>
            <w:shd w:val="clear" w:color="auto" w:fill="auto"/>
            <w:tcBorders>
              <w:left w:val="single" w:color="000000" w:sz="4" w:space="0"/>
              <w:bottom w:val="single" w:color="000000" w:sz="4" w:space="0"/>
            </w:tcBorders>
            <w:tcW w:w="3402" w:type="dxa"/>
          </w:tcPr>
          <w:p w14:paraId="1E71D8DF"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Langue principale</w:t>
            </w:r>
            <w:r/>
          </w:p>
        </w:tc>
        <w:tc>
          <w:tcPr>
            <w:shd w:val="clear" w:color="auto" w:fill="auto"/>
            <w:tcBorders>
              <w:left w:val="single" w:color="000000" w:sz="4" w:space="0"/>
              <w:bottom w:val="single" w:color="000000" w:sz="4" w:space="0"/>
              <w:right w:val="single" w:color="000000" w:sz="4" w:space="0"/>
            </w:tcBorders>
            <w:tcW w:w="6236" w:type="dxa"/>
          </w:tcPr>
          <w:p w14:paraId="1099AD1E"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Français</w:t>
            </w:r>
            <w:r/>
          </w:p>
        </w:tc>
      </w:tr>
      <w:tr>
        <w:trPr/>
        <w:tc>
          <w:tcPr>
            <w:shd w:val="clear" w:color="auto" w:fill="auto"/>
            <w:tcBorders>
              <w:left w:val="single" w:color="000000" w:sz="4" w:space="0"/>
              <w:bottom w:val="single" w:color="000000" w:sz="4" w:space="0"/>
            </w:tcBorders>
            <w:tcW w:w="3402" w:type="dxa"/>
          </w:tcPr>
          <w:p w14:paraId="11D9E900"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Discipline</w:t>
            </w:r>
            <w:r/>
          </w:p>
        </w:tc>
        <w:tc>
          <w:tcPr>
            <w:shd w:val="clear" w:color="auto" w:fill="auto"/>
            <w:tcBorders>
              <w:left w:val="single" w:color="000000" w:sz="4" w:space="0"/>
              <w:bottom w:val="single" w:color="000000" w:sz="4" w:space="0"/>
              <w:right w:val="single" w:color="000000" w:sz="4" w:space="0"/>
            </w:tcBorders>
            <w:tcW w:w="6236" w:type="dxa"/>
          </w:tcPr>
          <w:p w14:paraId="6FCC7159"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Psychologie</w:t>
            </w:r>
            <w:r/>
          </w:p>
        </w:tc>
      </w:tr>
      <w:tr>
        <w:trPr/>
        <w:tc>
          <w:tcPr>
            <w:shd w:val="clear" w:color="auto" w:fill="auto"/>
            <w:tcBorders>
              <w:left w:val="single" w:color="000000" w:sz="4" w:space="0"/>
              <w:bottom w:val="single" w:color="000000" w:sz="4" w:space="0"/>
            </w:tcBorders>
            <w:tcW w:w="3402" w:type="dxa"/>
          </w:tcPr>
          <w:p w14:paraId="62EF6A83"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Volume horaire global</w:t>
            </w:r>
            <w:r/>
          </w:p>
        </w:tc>
        <w:tc>
          <w:tcPr>
            <w:shd w:val="clear" w:color="auto" w:fill="auto"/>
            <w:tcBorders>
              <w:left w:val="single" w:color="000000" w:sz="4" w:space="0"/>
              <w:bottom w:val="single" w:color="000000" w:sz="4" w:space="0"/>
              <w:right w:val="single" w:color="000000" w:sz="4" w:space="0"/>
            </w:tcBorders>
            <w:tcW w:w="6236" w:type="dxa"/>
          </w:tcPr>
          <w:p w14:paraId="15D6090C"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24 heures TD</w:t>
            </w:r>
            <w:r/>
          </w:p>
        </w:tc>
      </w:tr>
      <w:tr>
        <w:trPr/>
        <w:tc>
          <w:tcPr>
            <w:shd w:val="clear" w:color="auto" w:fill="auto"/>
            <w:tcBorders>
              <w:left w:val="single" w:color="000000" w:sz="4" w:space="0"/>
              <w:bottom w:val="single" w:color="000000" w:sz="4" w:space="0"/>
            </w:tcBorders>
            <w:tcW w:w="3402" w:type="dxa"/>
          </w:tcPr>
          <w:p w14:paraId="76A6DB4A"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Bibliographie, lectures recommandées</w:t>
            </w:r>
            <w:r/>
          </w:p>
        </w:tc>
        <w:tc>
          <w:tcPr>
            <w:shd w:val="clear" w:color="auto" w:fill="auto"/>
            <w:tcBorders>
              <w:left w:val="single" w:color="000000" w:sz="4" w:space="0"/>
              <w:bottom w:val="single" w:color="000000" w:sz="4" w:space="0"/>
              <w:right w:val="single" w:color="000000" w:sz="4" w:space="0"/>
            </w:tcBorders>
            <w:tcW w:w="6236" w:type="dxa"/>
          </w:tcPr>
          <w:p w14:paraId="7A37AE2D"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Bibliographie succincte : </w:t>
            </w:r>
            <w:r/>
          </w:p>
          <w:p w14:paraId="4521DDC6"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Bioy</w:t>
            </w:r>
            <w:r>
              <w:rPr>
                <w:rFonts w:ascii="Calibri Light" w:hAnsi="Calibri Light" w:eastAsia="Calibri Light" w:cs="Calibri Light"/>
                <w:color w:val="000000"/>
                <w:sz w:val="20"/>
              </w:rPr>
              <w:t xml:space="preserve">, A., &amp; </w:t>
            </w:r>
            <w:r>
              <w:rPr>
                <w:rFonts w:ascii="Calibri Light" w:hAnsi="Calibri Light" w:eastAsia="Calibri Light" w:cs="Calibri Light"/>
                <w:color w:val="000000"/>
                <w:sz w:val="20"/>
              </w:rPr>
              <w:t xml:space="preserve">Bachelart</w:t>
            </w:r>
            <w:r>
              <w:rPr>
                <w:rFonts w:ascii="Calibri Light" w:hAnsi="Calibri Light" w:eastAsia="Calibri Light" w:cs="Calibri Light"/>
                <w:color w:val="000000"/>
                <w:sz w:val="20"/>
              </w:rPr>
              <w:t xml:space="preserve">, M. (2010). L’alliance </w:t>
            </w:r>
            <w:r>
              <w:rPr>
                <w:rFonts w:ascii="Calibri Light" w:hAnsi="Calibri Light" w:eastAsia="Calibri Light" w:cs="Calibri Light"/>
                <w:color w:val="000000"/>
                <w:sz w:val="20"/>
              </w:rPr>
              <w:t xml:space="preserve">thérapeutique:</w:t>
            </w:r>
            <w:r>
              <w:rPr>
                <w:rFonts w:ascii="Calibri Light" w:hAnsi="Calibri Light" w:eastAsia="Calibri Light" w:cs="Calibri Light"/>
                <w:color w:val="000000"/>
                <w:sz w:val="20"/>
              </w:rPr>
              <w:t xml:space="preserve"> historique, recherches et perspectives cliniques. </w:t>
            </w:r>
            <w:r>
              <w:rPr>
                <w:rFonts w:ascii="Calibri Light" w:hAnsi="Calibri Light" w:eastAsia="Calibri Light" w:cs="Calibri Light"/>
                <w:i/>
                <w:color w:val="000000"/>
                <w:sz w:val="20"/>
              </w:rPr>
              <w:t xml:space="preserve">Perspectives psy</w:t>
            </w:r>
            <w:r>
              <w:rPr>
                <w:rFonts w:ascii="Calibri Light" w:hAnsi="Calibri Light" w:eastAsia="Calibri Light" w:cs="Calibri Light"/>
                <w:color w:val="000000"/>
                <w:sz w:val="20"/>
              </w:rPr>
              <w:t xml:space="preserve">, 49(4), 317-326.</w:t>
            </w:r>
            <w:r/>
          </w:p>
          <w:p w14:paraId="3F45BE49"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Casement</w:t>
            </w:r>
            <w:r>
              <w:rPr>
                <w:rFonts w:ascii="Calibri Light" w:hAnsi="Calibri Light" w:eastAsia="Calibri Light" w:cs="Calibri Light"/>
                <w:color w:val="000000"/>
                <w:sz w:val="20"/>
              </w:rPr>
              <w:t xml:space="preserve">, 1988. </w:t>
            </w:r>
            <w:r>
              <w:rPr>
                <w:rFonts w:ascii="Calibri Light" w:hAnsi="Calibri Light" w:eastAsia="Calibri Light" w:cs="Calibri Light"/>
                <w:i/>
                <w:color w:val="000000"/>
                <w:sz w:val="20"/>
              </w:rPr>
              <w:t xml:space="preserve">A l'écoute du patient</w:t>
            </w:r>
            <w:r>
              <w:rPr>
                <w:rFonts w:ascii="Calibri Light" w:hAnsi="Calibri Light" w:eastAsia="Calibri Light" w:cs="Calibri Light"/>
                <w:color w:val="000000"/>
                <w:sz w:val="20"/>
              </w:rPr>
              <w:t xml:space="preserve">. PUF</w:t>
            </w:r>
            <w:r/>
          </w:p>
          <w:p w14:paraId="71A1C9B0"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Dispaux</w:t>
            </w:r>
            <w:r>
              <w:rPr>
                <w:rFonts w:ascii="Calibri Light" w:hAnsi="Calibri Light" w:eastAsia="Calibri Light" w:cs="Calibri Light"/>
                <w:color w:val="000000"/>
                <w:sz w:val="20"/>
              </w:rPr>
              <w:t xml:space="preserve">, M. F. (2007). La neutralité à l’épreuve de la clinique au quotidien. </w:t>
            </w:r>
            <w:r>
              <w:rPr>
                <w:rFonts w:ascii="Calibri Light" w:hAnsi="Calibri Light" w:eastAsia="Calibri Light" w:cs="Calibri Light"/>
                <w:i/>
                <w:color w:val="000000"/>
                <w:sz w:val="20"/>
              </w:rPr>
              <w:t xml:space="preserve">Revue française de psychanalyse</w:t>
            </w:r>
            <w:r>
              <w:rPr>
                <w:rFonts w:ascii="Calibri Light" w:hAnsi="Calibri Light" w:eastAsia="Calibri Light" w:cs="Calibri Light"/>
                <w:color w:val="000000"/>
                <w:sz w:val="20"/>
              </w:rPr>
              <w:t xml:space="preserve">, 71(3), 669-685</w:t>
            </w:r>
            <w:r/>
          </w:p>
          <w:p w14:paraId="66C3569A"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 </w:t>
            </w:r>
            <w:r/>
          </w:p>
        </w:tc>
      </w:tr>
      <w:tr>
        <w:trPr/>
        <w:tc>
          <w:tcPr>
            <w:shd w:val="clear" w:color="auto" w:fill="d9d9d9" w:themeFill="background1" w:themeFillShade="D9"/>
            <w:tcBorders>
              <w:left w:val="single" w:color="000000" w:sz="4" w:space="0"/>
              <w:bottom w:val="single" w:color="000000" w:sz="4" w:space="0"/>
            </w:tcBorders>
            <w:tcW w:w="3402" w:type="dxa"/>
          </w:tcPr>
          <w:p w14:paraId="5F6D2B38" w14:textId="77777777">
            <w:pPr>
              <w:pBdr>
                <w:top w:val="none" w:color="000000" w:sz="4" w:space="0"/>
                <w:left w:val="none" w:color="000000" w:sz="4" w:space="0"/>
                <w:bottom w:val="none" w:color="000000" w:sz="4" w:space="0"/>
                <w:right w:val="none" w:color="000000" w:sz="4" w:space="0"/>
                <w:between w:val="none" w:color="000000" w:sz="4" w:space="0"/>
              </w:pBdr>
              <w:spacing/>
              <w:ind/>
              <w:rPr/>
            </w:pPr>
            <w:r>
              <w:rPr>
                <w:rFonts w:ascii="Calibri Light" w:hAnsi="Calibri Light" w:eastAsia="Calibri Light" w:cs="Calibri Light"/>
                <w:b/>
                <w:color w:val="000000"/>
                <w:sz w:val="20"/>
              </w:rPr>
              <w:t xml:space="preserve"> </w:t>
            </w:r>
            <w:r/>
          </w:p>
        </w:tc>
        <w:tc>
          <w:tcPr>
            <w:shd w:val="clear" w:color="auto" w:fill="d9d9d9" w:themeFill="background1" w:themeFillShade="D9"/>
            <w:tcBorders>
              <w:left w:val="single" w:color="000000" w:sz="4" w:space="0"/>
              <w:bottom w:val="single" w:color="000000" w:sz="4" w:space="0"/>
              <w:right w:val="single" w:color="000000" w:sz="4" w:space="0"/>
            </w:tcBorders>
            <w:tcW w:w="6236" w:type="dxa"/>
          </w:tcPr>
          <w:p w14:paraId="7A1FF7DB" w14:textId="77777777">
            <w:pPr>
              <w:pBdr>
                <w:top w:val="none" w:color="000000" w:sz="4" w:space="0"/>
                <w:left w:val="none" w:color="000000" w:sz="4" w:space="0"/>
                <w:bottom w:val="none" w:color="000000" w:sz="4" w:space="0"/>
                <w:right w:val="none" w:color="000000" w:sz="4" w:space="0"/>
                <w:between w:val="none" w:color="000000" w:sz="4" w:space="0"/>
              </w:pBdr>
              <w:spacing/>
              <w:ind/>
              <w:rPr/>
            </w:pPr>
            <w:r>
              <w:rPr>
                <w:rFonts w:ascii="Calibri Light" w:hAnsi="Calibri Light" w:eastAsia="Calibri Light" w:cs="Calibri Light"/>
                <w:color w:val="000000"/>
                <w:sz w:val="20"/>
              </w:rPr>
              <w:t xml:space="preserve"> </w:t>
            </w:r>
            <w:r/>
          </w:p>
        </w:tc>
      </w:tr>
      <w:tr>
        <w:trPr/>
        <w:tc>
          <w:tcPr>
            <w:shd w:val="clear" w:color="auto" w:fill="auto"/>
            <w:tcBorders>
              <w:left w:val="single" w:color="000000" w:sz="4" w:space="0"/>
              <w:bottom w:val="single" w:color="000000" w:sz="4" w:space="0"/>
            </w:tcBorders>
            <w:tcW w:w="3402" w:type="dxa"/>
          </w:tcPr>
          <w:p w14:paraId="0A212B01"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Prérequis obligatoire</w:t>
            </w:r>
            <w:r>
              <w:rPr>
                <w:rFonts w:ascii="Calibri Light" w:hAnsi="Calibri Light" w:eastAsia="Calibri Light" w:cs="Calibri Light"/>
                <w:b/>
                <w:color w:val="000000"/>
                <w:sz w:val="20"/>
              </w:rPr>
              <w:t xml:space="preserve">  </w:t>
            </w:r>
            <w:r/>
          </w:p>
        </w:tc>
        <w:tc>
          <w:tcPr>
            <w:shd w:val="clear" w:color="auto" w:fill="auto"/>
            <w:tcBorders>
              <w:left w:val="single" w:color="000000" w:sz="4" w:space="0"/>
              <w:bottom w:val="single" w:color="000000" w:sz="4" w:space="0"/>
              <w:right w:val="single" w:color="000000" w:sz="4" w:space="0"/>
            </w:tcBorders>
            <w:tcW w:w="6236" w:type="dxa"/>
          </w:tcPr>
          <w:p w14:paraId="357B8D72"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Les concepts psychanalytiques, théorie de la pratique de l’entretien clinique</w:t>
            </w:r>
            <w:r/>
          </w:p>
        </w:tc>
      </w:tr>
      <w:tr>
        <w:trPr/>
        <w:tc>
          <w:tcPr>
            <w:shd w:val="clear" w:color="auto" w:fill="auto"/>
            <w:tcBorders>
              <w:left w:val="single" w:color="000000" w:sz="4" w:space="0"/>
              <w:bottom w:val="single" w:color="000000" w:sz="4" w:space="0"/>
            </w:tcBorders>
            <w:tcW w:w="3402" w:type="dxa"/>
          </w:tcPr>
          <w:p w14:paraId="4D09E89D"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12"/>
              </w:rPr>
              <w:t xml:space="preserve"> </w:t>
            </w:r>
            <w:r/>
          </w:p>
        </w:tc>
        <w:tc>
          <w:tcPr>
            <w:shd w:val="clear" w:color="auto" w:fill="auto"/>
            <w:tcBorders>
              <w:left w:val="single" w:color="000000" w:sz="4" w:space="0"/>
              <w:bottom w:val="single" w:color="000000" w:sz="4" w:space="0"/>
              <w:right w:val="single" w:color="000000" w:sz="4" w:space="0"/>
            </w:tcBorders>
            <w:tcW w:w="6236" w:type="dxa"/>
          </w:tcPr>
          <w:p w14:paraId="102DB790"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12"/>
              </w:rPr>
              <w:t xml:space="preserve"> </w:t>
            </w:r>
            <w:r/>
          </w:p>
        </w:tc>
      </w:tr>
      <w:tr>
        <w:trPr/>
        <w:tc>
          <w:tcPr>
            <w:shd w:val="clear" w:color="auto" w:fill="e6e6e6"/>
            <w:tcBorders>
              <w:top w:val="single" w:color="000000" w:sz="4" w:space="0"/>
              <w:left w:val="single" w:color="000000" w:sz="4" w:space="0"/>
              <w:bottom w:val="single" w:color="000000" w:sz="4" w:space="0"/>
            </w:tcBorders>
            <w:tcW w:w="3402" w:type="dxa"/>
          </w:tcPr>
          <w:p w14:paraId="0C649753"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Mode de contrôle des connaissances</w:t>
            </w: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A0DEFB9"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i/>
                <w:color w:val="000000"/>
                <w:sz w:val="20"/>
              </w:rPr>
              <w:t xml:space="preserve">Rapport de stage</w:t>
            </w:r>
            <w:r/>
          </w:p>
        </w:tc>
      </w:tr>
      <w:tr>
        <w:trPr/>
        <w:tc>
          <w:tcPr>
            <w:shd w:val="clear" w:color="auto" w:fill="auto"/>
            <w:tcBorders>
              <w:left w:val="single" w:color="000000" w:sz="4" w:space="0"/>
              <w:bottom w:val="single" w:color="000000" w:sz="4" w:space="0"/>
            </w:tcBorders>
            <w:tcW w:w="3402" w:type="dxa"/>
          </w:tcPr>
          <w:p w14:paraId="7631060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1C1A46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t xml:space="preserve">Contrôle terminal</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r>
    </w:tbl>
    <w:p w14:paraId="58952231" w14:textId="429DFFA9">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br w:type="page" w:clear="all"/>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4265D8DA"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bl>
      <w:tblPr>
        <w:tblStyle w:val="1166"/>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1E290772"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70F629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4AD1D17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6E5D66C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HPS6U31</w:t>
            </w:r>
            <w:r>
              <w:rPr>
                <w:rFonts w:eastAsia="Liberation Sans" w:asciiTheme="majorHAnsi" w:hAnsiTheme="majorHAnsi" w:cstheme="majorHAnsi"/>
                <w:b/>
                <w:color w:val="000000" w:themeColor="text1"/>
                <w:sz w:val="20"/>
                <w:szCs w:val="20"/>
                <w:highlight w:val="yellow"/>
              </w:rPr>
            </w:r>
            <w:r>
              <w:rPr>
                <w:rFonts w:eastAsia="Liberation Sans" w:asciiTheme="majorHAnsi" w:hAnsiTheme="majorHAnsi" w:cstheme="majorHAnsi"/>
                <w:b/>
                <w:color w:val="000000" w:themeColor="text1"/>
                <w:sz w:val="20"/>
                <w:szCs w:val="20"/>
                <w:highlight w:val="yellow"/>
              </w:rPr>
            </w:r>
          </w:p>
        </w:tc>
      </w:tr>
      <w:tr>
        <w:trPr/>
        <w:tc>
          <w:tcPr>
            <w:shd w:val="clear" w:color="auto" w:fill="auto"/>
            <w:tcBorders>
              <w:left w:val="single" w:color="000000" w:sz="4" w:space="0"/>
              <w:bottom w:val="single" w:color="000000" w:sz="4" w:space="0"/>
            </w:tcBorders>
            <w:tcW w:w="3402" w:type="dxa"/>
          </w:tcPr>
          <w:p w14:paraId="1F6B48D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1D577A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Cognitive PPO </w:t>
            </w:r>
            <w:r>
              <w:rPr>
                <w:rFonts w:ascii="Calibri Light" w:hAnsi="Calibri Light" w:eastAsia="Calibri Light" w:cs="Calibri Light"/>
                <w:color w:val="000000"/>
                <w:sz w:val="20"/>
              </w:rPr>
              <w:t xml:space="preserve">(Projet Professionnel et Orientation)</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rHeight w:val="597"/>
        </w:trPr>
        <w:tc>
          <w:tcPr>
            <w:shd w:val="clear" w:color="auto" w:fill="auto"/>
            <w:tcBorders>
              <w:top w:val="single" w:color="000000" w:sz="4" w:space="0"/>
              <w:left w:val="single" w:color="000000" w:sz="4" w:space="0"/>
              <w:bottom w:val="single" w:color="000000" w:sz="4" w:space="0"/>
            </w:tcBorders>
            <w:tcW w:w="3402" w:type="dxa"/>
          </w:tcPr>
          <w:p w14:paraId="5E27277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F21EF6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ascii="Calibri Light" w:hAnsi="Calibri Light" w:eastAsia="Calibri Light" w:cs="Calibri Light"/>
                <w:color w:val="000000"/>
                <w:sz w:val="20"/>
              </w:rPr>
              <w:t xml:space="preserve">Pratiques professionnelles, Neuropsychologie clinique, Ergonomie, Conception et évaluation d’interfaces utilisateurs, Persuasion technologique, Ecrits professionnels, Identité professionnelle du psychologue et de l’ergonome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1739F1D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4FFD7E4" w14:textId="77777777">
            <w:pPr>
              <w:pBdr>
                <w:top w:val="none" w:color="000000" w:sz="4" w:space="0"/>
                <w:left w:val="none" w:color="000000" w:sz="4" w:space="0"/>
                <w:bottom w:val="none" w:color="000000" w:sz="4" w:space="0"/>
                <w:right w:val="none" w:color="000000" w:sz="4" w:space="0"/>
                <w:between w:val="none" w:color="000000" w:sz="4" w:space="0"/>
              </w:pBdr>
              <w:spacing w:after="160"/>
              <w:ind w:firstLine="0"/>
              <w:contextualSpacing w:val="true"/>
              <w:rPr/>
            </w:pPr>
            <w:r>
              <w:rPr>
                <w:rFonts w:ascii="Calibri Light" w:hAnsi="Calibri Light" w:eastAsia="Calibri Light" w:cs="Calibri Light"/>
                <w:color w:val="000000"/>
                <w:sz w:val="20"/>
              </w:rPr>
              <w:t xml:space="preserve">Application des méthodes et techniques en neuropsychologie clinique, et psychopathologie cognitive</w:t>
            </w:r>
            <w:r/>
          </w:p>
          <w:p w14:paraId="060A194D" w14:textId="77777777">
            <w:pPr>
              <w:pBdr>
                <w:top w:val="none" w:color="000000" w:sz="4" w:space="0"/>
                <w:left w:val="none" w:color="000000" w:sz="4" w:space="0"/>
                <w:bottom w:val="none" w:color="000000" w:sz="4" w:space="0"/>
                <w:right w:val="none" w:color="000000" w:sz="4" w:space="0"/>
                <w:between w:val="none" w:color="000000" w:sz="4" w:space="0"/>
              </w:pBdr>
              <w:spacing w:after="160"/>
              <w:ind w:firstLine="0"/>
              <w:contextualSpacing w:val="true"/>
              <w:rPr/>
            </w:pPr>
            <w:r>
              <w:rPr>
                <w:rFonts w:ascii="Calibri Light" w:hAnsi="Calibri Light" w:eastAsia="Calibri Light" w:cs="Calibri Light"/>
                <w:color w:val="000000"/>
                <w:sz w:val="20"/>
              </w:rPr>
              <w:t xml:space="preserve">Application des méthodes et techniques en ergonomie</w:t>
            </w:r>
            <w:r/>
          </w:p>
          <w:p w14:paraId="4C795FC9" w14:textId="77777777">
            <w:pPr>
              <w:pBdr>
                <w:top w:val="none" w:color="000000" w:sz="4" w:space="0"/>
                <w:left w:val="none" w:color="000000" w:sz="4" w:space="0"/>
                <w:bottom w:val="none" w:color="000000" w:sz="4" w:space="0"/>
                <w:right w:val="none" w:color="000000" w:sz="4" w:space="0"/>
                <w:between w:val="none" w:color="000000" w:sz="4" w:space="0"/>
              </w:pBdr>
              <w:spacing w:after="160"/>
              <w:ind w:firstLine="0"/>
              <w:contextualSpacing w:val="true"/>
              <w:rPr/>
            </w:pPr>
            <w:r>
              <w:rPr>
                <w:rFonts w:ascii="Calibri Light" w:hAnsi="Calibri Light" w:eastAsia="Calibri Light" w:cs="Calibri Light"/>
                <w:color w:val="000000"/>
                <w:sz w:val="20"/>
              </w:rPr>
              <w:t xml:space="preserve">Application des méthodes et techniques en conception et évaluation d’interfaces utilisateurs</w:t>
            </w:r>
            <w:r/>
          </w:p>
          <w:p w14:paraId="675C806D" w14:textId="77777777">
            <w:pPr>
              <w:pBdr>
                <w:top w:val="none" w:color="000000" w:sz="4" w:space="0"/>
                <w:left w:val="none" w:color="000000" w:sz="4" w:space="0"/>
                <w:bottom w:val="none" w:color="000000" w:sz="4" w:space="0"/>
                <w:right w:val="none" w:color="000000" w:sz="4" w:space="0"/>
                <w:between w:val="none" w:color="000000" w:sz="4" w:space="0"/>
              </w:pBdr>
              <w:spacing w:after="160"/>
              <w:ind w:firstLine="0"/>
              <w:contextualSpacing w:val="true"/>
              <w:rPr/>
            </w:pPr>
            <w:r>
              <w:rPr>
                <w:rFonts w:ascii="Calibri Light" w:hAnsi="Calibri Light" w:eastAsia="Calibri Light" w:cs="Calibri Light"/>
                <w:color w:val="000000"/>
                <w:sz w:val="20"/>
              </w:rPr>
              <w:t xml:space="preserve">Application des méthodes et techniques de persuasion technologique</w:t>
            </w:r>
            <w:r/>
          </w:p>
          <w:p w14:paraId="62B7D0B4" w14:textId="77777777">
            <w:pPr>
              <w:pBdr>
                <w:top w:val="none" w:color="000000" w:sz="4" w:space="0"/>
                <w:left w:val="none" w:color="000000" w:sz="4" w:space="0"/>
                <w:bottom w:val="none" w:color="000000" w:sz="4" w:space="0"/>
                <w:right w:val="none" w:color="000000" w:sz="4" w:space="0"/>
                <w:between w:val="none" w:color="000000" w:sz="4" w:space="0"/>
              </w:pBdr>
              <w:spacing w:after="160"/>
              <w:ind w:firstLine="0"/>
              <w:contextualSpacing w:val="true"/>
              <w:rPr/>
            </w:pPr>
            <w:r>
              <w:rPr>
                <w:rFonts w:ascii="Calibri Light" w:hAnsi="Calibri Light" w:eastAsia="Calibri Light" w:cs="Calibri Light"/>
                <w:color w:val="000000"/>
                <w:sz w:val="20"/>
              </w:rPr>
              <w:t xml:space="preserve">Analyse de pratiques professionnelles</w:t>
            </w:r>
            <w:r/>
          </w:p>
          <w:p w14:paraId="40CE73F0" w14:textId="77777777">
            <w:pPr>
              <w:pBdr>
                <w:top w:val="none" w:color="000000" w:sz="4" w:space="0"/>
                <w:left w:val="none" w:color="000000" w:sz="4" w:space="0"/>
                <w:bottom w:val="none" w:color="000000" w:sz="4" w:space="0"/>
                <w:right w:val="none" w:color="000000" w:sz="4" w:space="0"/>
                <w:between w:val="none" w:color="000000" w:sz="4" w:space="0"/>
              </w:pBdr>
              <w:spacing w:after="160"/>
              <w:ind w:firstLine="0"/>
              <w:contextualSpacing w:val="true"/>
              <w:rPr/>
            </w:pPr>
            <w:r>
              <w:rPr>
                <w:rFonts w:ascii="Calibri Light" w:hAnsi="Calibri Light" w:eastAsia="Calibri Light" w:cs="Calibri Light"/>
                <w:color w:val="000000"/>
                <w:sz w:val="20"/>
              </w:rPr>
              <w:t xml:space="preserve">Travailler l’écrit professionnel, </w:t>
            </w:r>
            <w:r/>
          </w:p>
          <w:p w14:paraId="4B42A344" w14:textId="77777777">
            <w:pPr>
              <w:pBdr>
                <w:top w:val="none" w:color="000000" w:sz="4" w:space="0"/>
                <w:left w:val="none" w:color="000000" w:sz="4" w:space="0"/>
                <w:bottom w:val="none" w:color="000000" w:sz="4" w:space="0"/>
                <w:right w:val="none" w:color="000000" w:sz="4" w:space="0"/>
                <w:between w:val="none" w:color="000000" w:sz="4" w:space="0"/>
              </w:pBdr>
              <w:spacing w:after="160"/>
              <w:ind w:firstLine="0"/>
              <w:contextualSpacing w:val="true"/>
              <w:rPr/>
            </w:pPr>
            <w:r>
              <w:rPr>
                <w:rFonts w:ascii="Calibri Light" w:hAnsi="Calibri Light" w:eastAsia="Calibri Light" w:cs="Calibri Light"/>
                <w:color w:val="000000"/>
                <w:sz w:val="20"/>
              </w:rPr>
              <w:t xml:space="preserve">-&gt; Si stages réalisés dans le champ de la psychopathologie cognitive et/ou neuropsychologie clinique :</w:t>
            </w:r>
            <w:r/>
          </w:p>
          <w:p w14:paraId="567E42D1" w14:textId="77777777">
            <w:pPr>
              <w:numPr>
                <w:ilvl w:val="0"/>
                <w:numId w:val="31"/>
              </w:numPr>
              <w:pBdr>
                <w:top w:val="none" w:color="000000" w:sz="4" w:space="0"/>
                <w:left w:val="none" w:color="000000" w:sz="4" w:space="0"/>
                <w:bottom w:val="none" w:color="000000" w:sz="4" w:space="0"/>
                <w:right w:val="none" w:color="000000" w:sz="4" w:space="0"/>
                <w:between w:val="none" w:color="000000" w:sz="4" w:space="0"/>
              </w:pBdr>
              <w:spacing w:after="160"/>
              <w:ind/>
              <w:contextualSpacing w:val="true"/>
              <w:rPr/>
            </w:pPr>
            <w:r>
              <w:rPr>
                <w:rFonts w:ascii="Calibri Light" w:hAnsi="Calibri Light" w:eastAsia="Calibri Light" w:cs="Calibri Light"/>
                <w:color w:val="000000"/>
                <w:sz w:val="20"/>
              </w:rPr>
              <w:t xml:space="preserve">Apprendre à différencier différents tableaux cliniques </w:t>
            </w:r>
            <w:r>
              <w:rPr>
                <w:rFonts w:ascii="Calibri Light" w:hAnsi="Calibri Light" w:eastAsia="Calibri Light" w:cs="Calibri Light"/>
                <w:color w:val="000000"/>
                <w:sz w:val="20"/>
              </w:rPr>
              <w:t xml:space="preserve">neuropsychologiques  (</w:t>
            </w:r>
            <w:r>
              <w:rPr>
                <w:rFonts w:ascii="Calibri Light" w:hAnsi="Calibri Light" w:eastAsia="Calibri Light" w:cs="Calibri Light"/>
                <w:color w:val="000000"/>
                <w:sz w:val="20"/>
              </w:rPr>
              <w:t xml:space="preserve">Troubles neurocognitifs majeurs) </w:t>
            </w:r>
            <w:r/>
          </w:p>
          <w:p w14:paraId="44D620F8" w14:textId="77777777">
            <w:pPr>
              <w:numPr>
                <w:ilvl w:val="0"/>
                <w:numId w:val="31"/>
              </w:numPr>
              <w:pBdr>
                <w:top w:val="none" w:color="000000" w:sz="4" w:space="0"/>
                <w:left w:val="none" w:color="000000" w:sz="4" w:space="0"/>
                <w:bottom w:val="none" w:color="000000" w:sz="4" w:space="0"/>
                <w:right w:val="none" w:color="000000" w:sz="4" w:space="0"/>
                <w:between w:val="none" w:color="000000" w:sz="4" w:space="0"/>
              </w:pBdr>
              <w:spacing w:after="160"/>
              <w:ind/>
              <w:contextualSpacing w:val="true"/>
              <w:rPr/>
            </w:pPr>
            <w:r>
              <w:rPr>
                <w:rFonts w:ascii="Calibri Light" w:hAnsi="Calibri Light" w:eastAsia="Calibri Light" w:cs="Calibri Light"/>
                <w:color w:val="000000"/>
                <w:sz w:val="20"/>
              </w:rPr>
              <w:t xml:space="preserve">Appliquer les techniques de remédiation cognitive et réhabilitation psychosociale en psychiatrie adulte</w:t>
            </w:r>
            <w:r/>
          </w:p>
          <w:p w14:paraId="65BBAA26" w14:textId="77777777">
            <w:pPr>
              <w:numPr>
                <w:ilvl w:val="0"/>
                <w:numId w:val="31"/>
              </w:numPr>
              <w:pBdr>
                <w:top w:val="none" w:color="000000" w:sz="4" w:space="0"/>
                <w:left w:val="none" w:color="000000" w:sz="4" w:space="0"/>
                <w:bottom w:val="none" w:color="000000" w:sz="4" w:space="0"/>
                <w:right w:val="none" w:color="000000" w:sz="4" w:space="0"/>
                <w:between w:val="none" w:color="000000" w:sz="4" w:space="0"/>
              </w:pBdr>
              <w:spacing w:after="160"/>
              <w:ind/>
              <w:contextualSpacing w:val="true"/>
              <w:rPr/>
            </w:pPr>
            <w:r>
              <w:rPr>
                <w:rFonts w:ascii="Calibri Light" w:hAnsi="Calibri Light" w:eastAsia="Calibri Light" w:cs="Calibri Light"/>
                <w:color w:val="000000"/>
                <w:sz w:val="20"/>
              </w:rPr>
              <w:t xml:space="preserve">Méthodes d’évaluation des besoins des aidants </w:t>
            </w:r>
            <w:r/>
          </w:p>
          <w:p w14:paraId="6B7B6EC2" w14:textId="77777777">
            <w:pPr>
              <w:numPr>
                <w:ilvl w:val="0"/>
                <w:numId w:val="31"/>
              </w:numPr>
              <w:pBdr>
                <w:top w:val="none" w:color="000000" w:sz="4" w:space="0"/>
                <w:left w:val="none" w:color="000000" w:sz="4" w:space="0"/>
                <w:bottom w:val="none" w:color="000000" w:sz="4" w:space="0"/>
                <w:right w:val="none" w:color="000000" w:sz="4" w:space="0"/>
                <w:between w:val="none" w:color="000000" w:sz="4" w:space="0"/>
              </w:pBdr>
              <w:spacing w:after="160"/>
              <w:ind/>
              <w:contextualSpacing w:val="true"/>
              <w:rPr/>
            </w:pPr>
            <w:r>
              <w:rPr>
                <w:rFonts w:ascii="Calibri Light" w:hAnsi="Calibri Light" w:eastAsia="Calibri Light" w:cs="Calibri Light"/>
                <w:color w:val="000000"/>
                <w:sz w:val="20"/>
              </w:rPr>
              <w:t xml:space="preserve">Les troubles du comportement (enfants et adolescents) etc.</w:t>
            </w:r>
            <w:r/>
          </w:p>
          <w:p w14:paraId="79550B73" w14:textId="77777777">
            <w:pPr>
              <w:pBdr>
                <w:top w:val="none" w:color="000000" w:sz="4" w:space="0"/>
                <w:left w:val="none" w:color="000000" w:sz="4" w:space="0"/>
                <w:bottom w:val="none" w:color="000000" w:sz="4" w:space="0"/>
                <w:right w:val="none" w:color="000000" w:sz="4" w:space="0"/>
                <w:between w:val="none" w:color="000000" w:sz="4" w:space="0"/>
              </w:pBdr>
              <w:spacing w:after="160"/>
              <w:ind w:firstLine="0"/>
              <w:contextualSpacing w:val="true"/>
              <w:rPr/>
            </w:pPr>
            <w:r>
              <w:rPr>
                <w:color w:val="000000"/>
                <w:sz w:val="20"/>
              </w:rPr>
              <w:t xml:space="preserve">-&gt; Si stages réalisés dans le champ de l’ergonomie :</w:t>
            </w:r>
            <w:r/>
          </w:p>
          <w:p w14:paraId="4EA52819" w14:textId="77777777">
            <w:pPr>
              <w:pBdr>
                <w:top w:val="none" w:color="000000" w:sz="4" w:space="0"/>
                <w:left w:val="none" w:color="000000" w:sz="4" w:space="0"/>
                <w:bottom w:val="none" w:color="000000" w:sz="4" w:space="0"/>
                <w:right w:val="none" w:color="000000" w:sz="4" w:space="0"/>
                <w:between w:val="none" w:color="000000" w:sz="4" w:space="0"/>
              </w:pBdr>
              <w:spacing w:after="160"/>
              <w:ind w:hanging="425" w:left="425"/>
              <w:contextualSpacing w:val="true"/>
              <w:rPr/>
            </w:pPr>
            <w:r>
              <w:rPr>
                <w:color w:val="000000"/>
                <w:sz w:val="20"/>
              </w:rPr>
              <w:t xml:space="preserve">- Analyser et reformuler la demande</w:t>
            </w:r>
            <w:r/>
          </w:p>
          <w:p w14:paraId="31002186" w14:textId="77777777">
            <w:pPr>
              <w:pBdr>
                <w:top w:val="none" w:color="000000" w:sz="4" w:space="0"/>
                <w:left w:val="none" w:color="000000" w:sz="4" w:space="0"/>
                <w:bottom w:val="none" w:color="000000" w:sz="4" w:space="0"/>
                <w:right w:val="none" w:color="000000" w:sz="4" w:space="0"/>
                <w:between w:val="none" w:color="000000" w:sz="4" w:space="0"/>
              </w:pBdr>
              <w:spacing w:after="160"/>
              <w:ind w:hanging="425" w:left="425"/>
              <w:contextualSpacing w:val="true"/>
              <w:rPr/>
            </w:pPr>
            <w:r>
              <w:rPr>
                <w:color w:val="000000"/>
                <w:sz w:val="20"/>
              </w:rPr>
              <w:t xml:space="preserve">- Mettre en application des méthodes et techniques en ergonomie, en </w:t>
            </w:r>
            <w:r>
              <w:rPr>
                <w:rFonts w:ascii="Calibri Light" w:hAnsi="Calibri Light" w:eastAsia="Calibri Light" w:cs="Calibri Light"/>
                <w:color w:val="000000"/>
                <w:sz w:val="20"/>
              </w:rPr>
              <w:t xml:space="preserve">conception et évaluation d’interfaces utilisateurs et/ou en persuasion technologique</w:t>
            </w:r>
            <w:r/>
          </w:p>
          <w:p w14:paraId="6D12CE5F" w14:textId="77777777">
            <w:pPr>
              <w:pBdr>
                <w:top w:val="none" w:color="000000" w:sz="4" w:space="0"/>
                <w:left w:val="none" w:color="000000" w:sz="4" w:space="0"/>
                <w:bottom w:val="none" w:color="000000" w:sz="4" w:space="0"/>
                <w:right w:val="none" w:color="000000" w:sz="4" w:space="0"/>
                <w:between w:val="none" w:color="000000" w:sz="4" w:space="0"/>
              </w:pBdr>
              <w:spacing w:after="160"/>
              <w:ind w:hanging="425" w:left="425"/>
              <w:contextualSpacing w:val="true"/>
              <w:rPr/>
            </w:pPr>
            <w:r>
              <w:rPr>
                <w:rFonts w:ascii="Calibri Light" w:hAnsi="Calibri Light" w:eastAsia="Calibri Light" w:cs="Calibri Light"/>
                <w:color w:val="000000"/>
                <w:sz w:val="20"/>
              </w:rPr>
              <w:t xml:space="preserve">- Proposer des recommandations ergonomiques en vue de l’amélioration de la situation ou de l’environnement humain, technique et organisationnel</w:t>
            </w:r>
            <w:r/>
          </w:p>
        </w:tc>
      </w:tr>
      <w:tr>
        <w:trPr/>
        <w:tc>
          <w:tcPr>
            <w:shd w:val="clear" w:color="auto" w:fill="auto"/>
            <w:tcBorders>
              <w:top w:val="single" w:color="000000" w:sz="4" w:space="0"/>
              <w:left w:val="single" w:color="000000" w:sz="4" w:space="0"/>
              <w:bottom w:val="single" w:color="000000" w:sz="4" w:space="0"/>
            </w:tcBorders>
            <w:tcW w:w="3402" w:type="dxa"/>
          </w:tcPr>
          <w:p w14:paraId="31CCC1E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737BE3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3 ECTS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62450BC"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A39F38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FD1ABD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9BB44AE" w14:textId="77777777">
            <w:pPr>
              <w:pStyle w:val="1193"/>
              <w:numPr>
                <w:ilvl w:val="0"/>
                <w:numId w:val="32"/>
              </w:numPr>
              <w:pBdr>
                <w:top w:val="none" w:color="000000" w:sz="4" w:space="0"/>
                <w:left w:val="none" w:color="000000" w:sz="4" w:space="0"/>
                <w:bottom w:val="none" w:color="000000" w:sz="4" w:space="0"/>
                <w:right w:val="none" w:color="000000" w:sz="4" w:space="0"/>
                <w:between w:val="none" w:color="000000" w:sz="4" w:space="0"/>
              </w:pBdr>
              <w:spacing/>
              <w:ind/>
              <w:rPr>
                <w:rFonts w:ascii="Calibri Light" w:hAnsi="Calibri Light" w:eastAsia="Calibri Light" w:cs="Calibri Light"/>
                <w:color w:val="000000"/>
                <w:sz w:val="20"/>
                <w:szCs w:val="20"/>
              </w:rPr>
            </w:pPr>
            <w:r>
              <w:rPr>
                <w:rFonts w:ascii="Calibri Light" w:hAnsi="Calibri Light" w:eastAsia="Calibri Light" w:cs="Calibri Light"/>
                <w:color w:val="000000"/>
                <w:sz w:val="20"/>
                <w:szCs w:val="20"/>
              </w:rPr>
              <w:t xml:space="preserve">Caractériser, préciser, valoriser ses compétences et son projet professionnel </w:t>
            </w:r>
            <w:r>
              <w:rPr>
                <w:rFonts w:ascii="Calibri Light" w:hAnsi="Calibri Light" w:eastAsia="Calibri Light" w:cs="Calibri Light"/>
                <w:color w:val="000000"/>
                <w:sz w:val="20"/>
                <w:szCs w:val="20"/>
              </w:rPr>
            </w:r>
            <w:r>
              <w:rPr>
                <w:rFonts w:ascii="Calibri Light" w:hAnsi="Calibri Light" w:eastAsia="Calibri Light" w:cs="Calibri Light"/>
                <w:color w:val="000000"/>
                <w:sz w:val="20"/>
                <w:szCs w:val="20"/>
              </w:rPr>
            </w:r>
          </w:p>
          <w:p w14:paraId="0046A9BF" w14:textId="77777777">
            <w:pPr>
              <w:pStyle w:val="1193"/>
              <w:numPr>
                <w:ilvl w:val="0"/>
                <w:numId w:val="32"/>
              </w:numPr>
              <w:pBdr>
                <w:top w:val="none" w:color="000000" w:sz="4" w:space="0"/>
                <w:left w:val="none" w:color="000000" w:sz="4" w:space="0"/>
                <w:bottom w:val="none" w:color="000000" w:sz="4" w:space="0"/>
                <w:right w:val="none" w:color="000000" w:sz="4" w:space="0"/>
                <w:between w:val="none" w:color="000000" w:sz="4" w:space="0"/>
              </w:pBdr>
              <w:spacing/>
              <w:ind/>
              <w:rPr>
                <w:rFonts w:ascii="Calibri Light" w:hAnsi="Calibri Light" w:eastAsia="Calibri Light" w:cs="Calibri Light"/>
                <w:color w:val="000000"/>
                <w:sz w:val="20"/>
                <w:szCs w:val="20"/>
              </w:rPr>
            </w:pPr>
            <w:r>
              <w:rPr>
                <w:rFonts w:ascii="Calibri Light" w:hAnsi="Calibri Light" w:eastAsia="Calibri Light" w:cs="Calibri Light"/>
                <w:color w:val="000000"/>
                <w:sz w:val="20"/>
                <w:szCs w:val="20"/>
              </w:rPr>
              <w:t xml:space="preserve">Analyser ses actions en situation professionnelle, s’autoévaluer pour améliorer sa pratique</w:t>
            </w:r>
            <w:r>
              <w:rPr>
                <w:rFonts w:ascii="Calibri Light" w:hAnsi="Calibri Light" w:eastAsia="Calibri Light" w:cs="Calibri Light"/>
                <w:color w:val="000000"/>
                <w:sz w:val="20"/>
                <w:szCs w:val="20"/>
              </w:rPr>
            </w:r>
            <w:r>
              <w:rPr>
                <w:rFonts w:ascii="Calibri Light" w:hAnsi="Calibri Light" w:eastAsia="Calibri Light" w:cs="Calibri Light"/>
                <w:color w:val="000000"/>
                <w:sz w:val="20"/>
                <w:szCs w:val="20"/>
              </w:rPr>
            </w:r>
          </w:p>
          <w:p w14:paraId="31EAB265" w14:textId="77777777">
            <w:pPr>
              <w:pStyle w:val="1193"/>
              <w:numPr>
                <w:ilvl w:val="0"/>
                <w:numId w:val="32"/>
              </w:numPr>
              <w:pBdr>
                <w:top w:val="none" w:color="000000" w:sz="4" w:space="0"/>
                <w:left w:val="none" w:color="000000" w:sz="4" w:space="0"/>
                <w:bottom w:val="none" w:color="000000" w:sz="4" w:space="0"/>
                <w:right w:val="none" w:color="000000" w:sz="4" w:space="0"/>
                <w:between w:val="none" w:color="000000" w:sz="4" w:space="0"/>
              </w:pBdr>
              <w:spacing/>
              <w:ind/>
              <w:rPr>
                <w:rFonts w:ascii="Calibri Light" w:hAnsi="Calibri Light" w:eastAsia="Calibri Light" w:cs="Calibri Light"/>
                <w:color w:val="000000"/>
                <w:sz w:val="20"/>
                <w:szCs w:val="20"/>
              </w:rPr>
            </w:pPr>
            <w:r>
              <w:rPr>
                <w:rFonts w:ascii="Calibri Light" w:hAnsi="Calibri Light" w:eastAsia="Calibri Light" w:cs="Calibri Light"/>
                <w:color w:val="000000"/>
                <w:sz w:val="20"/>
                <w:szCs w:val="20"/>
              </w:rPr>
              <w:t xml:space="preserve">Respecter les principes d’éthique et de déontologie en situation professionnelle</w:t>
            </w:r>
            <w:r>
              <w:rPr>
                <w:rFonts w:ascii="Calibri Light" w:hAnsi="Calibri Light" w:eastAsia="Calibri Light" w:cs="Calibri Light"/>
                <w:color w:val="000000"/>
                <w:sz w:val="20"/>
                <w:szCs w:val="20"/>
              </w:rPr>
            </w:r>
            <w:r>
              <w:rPr>
                <w:rFonts w:ascii="Calibri Light" w:hAnsi="Calibri Light" w:eastAsia="Calibri Light" w:cs="Calibri Light"/>
                <w:color w:val="000000"/>
                <w:sz w:val="20"/>
                <w:szCs w:val="20"/>
              </w:rPr>
            </w:r>
          </w:p>
          <w:p w14:paraId="13CA9467" w14:textId="77777777">
            <w:pPr>
              <w:pStyle w:val="1193"/>
              <w:numPr>
                <w:ilvl w:val="0"/>
                <w:numId w:val="32"/>
              </w:numPr>
              <w:pBdr>
                <w:top w:val="none" w:color="000000" w:sz="4" w:space="0"/>
                <w:left w:val="none" w:color="000000" w:sz="4" w:space="0"/>
                <w:bottom w:val="none" w:color="000000" w:sz="4" w:space="0"/>
                <w:right w:val="none" w:color="000000" w:sz="4" w:space="0"/>
                <w:between w:val="none" w:color="000000" w:sz="4" w:space="0"/>
              </w:pBdr>
              <w:spacing/>
              <w:ind/>
              <w:rPr>
                <w:rFonts w:ascii="Calibri Light" w:hAnsi="Calibri Light" w:eastAsia="Calibri Light" w:cs="Calibri Light"/>
                <w:color w:val="000000"/>
                <w:sz w:val="20"/>
                <w:szCs w:val="20"/>
              </w:rPr>
            </w:pPr>
            <w:r>
              <w:rPr>
                <w:rFonts w:ascii="Calibri Light" w:hAnsi="Calibri Light" w:eastAsia="Calibri Light" w:cs="Calibri Light"/>
                <w:color w:val="000000"/>
                <w:sz w:val="20"/>
                <w:szCs w:val="20"/>
              </w:rPr>
              <w:t xml:space="preserve">Restituer de façon intelligible ses observations, ses questions, </w:t>
            </w:r>
            <w:r>
              <w:rPr>
                <w:rFonts w:ascii="Calibri Light" w:hAnsi="Calibri Light" w:eastAsia="Calibri Light" w:cs="Calibri Light"/>
                <w:color w:val="000000"/>
                <w:sz w:val="20"/>
                <w:szCs w:val="20"/>
              </w:rPr>
              <w:t xml:space="preserve">et  rendre</w:t>
            </w:r>
            <w:r>
              <w:rPr>
                <w:rFonts w:ascii="Calibri Light" w:hAnsi="Calibri Light" w:eastAsia="Calibri Light" w:cs="Calibri Light"/>
                <w:color w:val="000000"/>
                <w:sz w:val="20"/>
                <w:szCs w:val="20"/>
              </w:rPr>
              <w:t xml:space="preserve"> compte de sa découverte d’une pratique professionnelle à l’écrit et à l’oral</w:t>
            </w:r>
            <w:r>
              <w:rPr>
                <w:rFonts w:ascii="Calibri Light" w:hAnsi="Calibri Light" w:eastAsia="Calibri Light" w:cs="Calibri Light"/>
                <w:color w:val="000000"/>
                <w:sz w:val="20"/>
                <w:szCs w:val="20"/>
              </w:rPr>
            </w:r>
            <w:r>
              <w:rPr>
                <w:rFonts w:ascii="Calibri Light" w:hAnsi="Calibri Light" w:eastAsia="Calibri Light" w:cs="Calibri Light"/>
                <w:color w:val="000000"/>
                <w:sz w:val="20"/>
                <w:szCs w:val="20"/>
              </w:rPr>
            </w:r>
          </w:p>
          <w:p w14:paraId="5DABEEC2" w14:textId="77777777">
            <w:pPr>
              <w:pStyle w:val="1193"/>
              <w:numPr>
                <w:ilvl w:val="0"/>
                <w:numId w:val="32"/>
              </w:numPr>
              <w:pBdr>
                <w:top w:val="none" w:color="000000" w:sz="4" w:space="0"/>
                <w:left w:val="none" w:color="000000" w:sz="4" w:space="0"/>
                <w:bottom w:val="none" w:color="000000" w:sz="4" w:space="0"/>
                <w:right w:val="none" w:color="000000" w:sz="4" w:space="0"/>
                <w:between w:val="none" w:color="000000" w:sz="4" w:space="0"/>
              </w:pBdr>
              <w:spacing/>
              <w:ind/>
              <w:rPr>
                <w:rFonts w:ascii="Calibri Light" w:hAnsi="Calibri Light" w:eastAsia="Calibri Light" w:cs="Calibri Light"/>
                <w:color w:val="000000"/>
                <w:sz w:val="20"/>
                <w:szCs w:val="20"/>
              </w:rPr>
            </w:pPr>
            <w:r>
              <w:rPr>
                <w:rFonts w:ascii="Calibri Light" w:hAnsi="Calibri Light" w:eastAsia="Calibri Light" w:cs="Calibri Light"/>
                <w:color w:val="000000"/>
                <w:sz w:val="20"/>
                <w:szCs w:val="20"/>
              </w:rPr>
              <w:t xml:space="preserve">Interagir avec autrui : savoir développer sa posture </w:t>
            </w:r>
            <w:r>
              <w:rPr>
                <w:rFonts w:ascii="Calibri Light" w:hAnsi="Calibri Light" w:eastAsia="Calibri Light" w:cs="Calibri Light"/>
                <w:color w:val="000000"/>
                <w:sz w:val="20"/>
                <w:szCs w:val="20"/>
              </w:rPr>
              <w:t xml:space="preserve">professionnelle,  avoir</w:t>
            </w:r>
            <w:r>
              <w:rPr>
                <w:rFonts w:ascii="Calibri Light" w:hAnsi="Calibri Light" w:eastAsia="Calibri Light" w:cs="Calibri Light"/>
                <w:color w:val="000000"/>
                <w:sz w:val="20"/>
                <w:szCs w:val="20"/>
              </w:rPr>
              <w:t xml:space="preserve"> une écoute bienveillante, adapter sa façon de communiquer dans sa  relation à autrui, adopter une attitude réflexive, savoir identifier des capacités et limites, vulnérabilités et fragilités, reconnaître la souffrance d’autrui,  </w:t>
            </w:r>
            <w:r>
              <w:rPr>
                <w:rFonts w:ascii="Calibri Light" w:hAnsi="Calibri Light" w:eastAsia="Calibri Light" w:cs="Calibri Light"/>
                <w:color w:val="000000"/>
                <w:sz w:val="20"/>
                <w:szCs w:val="20"/>
              </w:rPr>
              <w:t xml:space="preserve">etc</w:t>
            </w:r>
            <w:r>
              <w:rPr>
                <w:rFonts w:ascii="Calibri Light" w:hAnsi="Calibri Light" w:eastAsia="Calibri Light" w:cs="Calibri Light"/>
                <w:color w:val="000000"/>
                <w:sz w:val="20"/>
                <w:szCs w:val="20"/>
              </w:rPr>
            </w:r>
            <w:r>
              <w:rPr>
                <w:rFonts w:ascii="Calibri Light" w:hAnsi="Calibri Light" w:eastAsia="Calibri Light" w:cs="Calibri Light"/>
                <w:color w:val="000000"/>
                <w:sz w:val="20"/>
                <w:szCs w:val="20"/>
              </w:rPr>
            </w:r>
          </w:p>
          <w:p w14:paraId="27F38349" w14:textId="77777777">
            <w:pPr>
              <w:pStyle w:val="1193"/>
              <w:numPr>
                <w:ilvl w:val="0"/>
                <w:numId w:val="32"/>
              </w:numPr>
              <w:pBdr>
                <w:top w:val="none" w:color="000000" w:sz="4" w:space="0"/>
                <w:left w:val="none" w:color="000000" w:sz="4" w:space="0"/>
                <w:bottom w:val="none" w:color="000000" w:sz="4" w:space="0"/>
                <w:right w:val="none" w:color="000000" w:sz="4" w:space="0"/>
                <w:between w:val="none" w:color="000000" w:sz="4" w:space="0"/>
              </w:pBdr>
              <w:spacing/>
              <w:ind/>
              <w:rPr>
                <w:rFonts w:ascii="Calibri Light" w:hAnsi="Calibri Light" w:eastAsia="Calibri Light" w:cs="Calibri Light"/>
                <w:color w:val="000000"/>
                <w:sz w:val="20"/>
                <w:szCs w:val="20"/>
              </w:rPr>
            </w:pPr>
            <w:r>
              <w:rPr>
                <w:rFonts w:ascii="Calibri Light" w:hAnsi="Calibri Light" w:eastAsia="Calibri Light" w:cs="Calibri Light"/>
                <w:color w:val="000000"/>
                <w:sz w:val="20"/>
                <w:szCs w:val="20"/>
              </w:rPr>
              <w:t xml:space="preserve">Elaborer des propositions et recommandations en vue d’améliorations des situations</w:t>
            </w:r>
            <w:r>
              <w:rPr>
                <w:rFonts w:ascii="Calibri Light" w:hAnsi="Calibri Light" w:eastAsia="Calibri Light" w:cs="Calibri Light"/>
                <w:color w:val="000000"/>
                <w:sz w:val="20"/>
                <w:szCs w:val="20"/>
              </w:rPr>
            </w:r>
            <w:r>
              <w:rPr>
                <w:rFonts w:ascii="Calibri Light" w:hAnsi="Calibri Light" w:eastAsia="Calibri Light" w:cs="Calibri Light"/>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5BF78B5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2AA486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9B274D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E38B61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Nathalie Bonnardel &amp; Hélène </w:t>
            </w:r>
            <w:r>
              <w:rPr>
                <w:rFonts w:eastAsia="Liberation Sans" w:asciiTheme="majorHAnsi" w:hAnsiTheme="majorHAnsi" w:cstheme="majorHAnsi"/>
                <w:color w:val="000000" w:themeColor="text1"/>
                <w:sz w:val="20"/>
                <w:szCs w:val="20"/>
              </w:rPr>
              <w:t xml:space="preserve">Wilquin</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5E3E86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357DF68"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r>
            <w:r>
              <w:rPr>
                <w:rFonts w:ascii="Calibri Light" w:hAnsi="Calibri Light" w:eastAsia="Calibri Light" w:cs="Calibri Light"/>
                <w:color w:val="000000"/>
                <w:sz w:val="20"/>
              </w:rPr>
              <w:t xml:space="preserve">L. Bonhomme, N. Bonnardel, E. Cheron, B. Isableu, E. Jarillot, O. Lamarche, L. Pellegrin,H. Polomeni-Benazech , E. Thomas, F. Vaillant, L. Violeau, H. Wilquin,</w:t>
            </w:r>
            <w:r>
              <w:rPr>
                <w:rFonts w:ascii="Calibri Light" w:hAnsi="Calibri Light" w:eastAsia="Calibri Light" w:cs="Calibri Light"/>
                <w:color w:val="000000"/>
                <w:sz w:val="20"/>
              </w:rPr>
            </w:r>
            <w:r/>
          </w:p>
        </w:tc>
      </w:tr>
      <w:tr>
        <w:trPr/>
        <w:tc>
          <w:tcPr>
            <w:shd w:val="clear" w:color="auto" w:fill="auto"/>
            <w:tcBorders>
              <w:left w:val="single" w:color="000000" w:sz="4" w:space="0"/>
              <w:bottom w:val="single" w:color="000000" w:sz="4" w:space="0"/>
            </w:tcBorders>
            <w:tcW w:w="3402" w:type="dxa"/>
          </w:tcPr>
          <w:p w14:paraId="5EF2BFA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w:t>
            </w:r>
            <w:r>
              <w:rPr>
                <w:rFonts w:eastAsia="Times New Roman"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t xml:space="preserve">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1AF656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eastAsia="Calibri Light" w:cs="Calibri Light"/>
                <w:color w:val="000000"/>
                <w:sz w:val="20"/>
                <w:szCs w:val="20"/>
              </w:rPr>
            </w:pPr>
            <w:r>
              <w:rPr>
                <w:rFonts w:ascii="Calibri Light" w:hAnsi="Calibri Light" w:eastAsia="Calibri Light" w:cs="Calibri Light"/>
                <w:color w:val="000000"/>
                <w:sz w:val="20"/>
                <w:szCs w:val="20"/>
              </w:rPr>
              <w:t xml:space="preserve">Stage d’observation de 80 heures à réaliser au semestre 5 (HPS5U31) </w:t>
            </w:r>
            <w:r>
              <w:rPr>
                <w:rFonts w:ascii="Calibri Light" w:hAnsi="Calibri Light" w:eastAsia="Calibri Light" w:cs="Calibri Light"/>
                <w:color w:val="000000"/>
                <w:sz w:val="20"/>
                <w:szCs w:val="20"/>
              </w:rPr>
              <w:t xml:space="preserve">ou  6</w:t>
            </w:r>
            <w:r>
              <w:rPr>
                <w:rFonts w:ascii="Calibri Light" w:hAnsi="Calibri Light" w:eastAsia="Calibri Light" w:cs="Calibri Light"/>
                <w:color w:val="000000"/>
                <w:sz w:val="20"/>
                <w:szCs w:val="20"/>
              </w:rPr>
              <w:t xml:space="preserve">  dans le champ de la psychopathologie cognitive et/ou neuropsychologie clinique ou dans le champ de l’ergonomie.</w:t>
            </w:r>
            <w:r>
              <w:rPr>
                <w:rFonts w:ascii="Calibri Light" w:hAnsi="Calibri Light" w:eastAsia="Calibri Light" w:cs="Calibri Light"/>
                <w:color w:val="000000"/>
                <w:sz w:val="20"/>
                <w:szCs w:val="20"/>
              </w:rPr>
            </w:r>
            <w:r>
              <w:rPr>
                <w:rFonts w:ascii="Calibri Light" w:hAnsi="Calibri Light" w:eastAsia="Calibri Light" w:cs="Calibri Light"/>
                <w:color w:val="000000"/>
                <w:sz w:val="20"/>
                <w:szCs w:val="20"/>
              </w:rPr>
            </w:r>
          </w:p>
          <w:p w14:paraId="60D0E97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eastAsia="Calibri Light" w:cs="Calibri Light"/>
                <w:color w:val="000000"/>
                <w:sz w:val="20"/>
                <w:szCs w:val="20"/>
              </w:rPr>
            </w:pPr>
            <w:r>
              <w:rPr>
                <w:rFonts w:ascii="Calibri Light" w:hAnsi="Calibri Light" w:eastAsia="Calibri Light" w:cs="Calibri Light"/>
                <w:b/>
                <w:bCs/>
                <w:color w:val="000000"/>
                <w:sz w:val="20"/>
                <w:szCs w:val="20"/>
              </w:rPr>
              <w:t xml:space="preserve">Attention lors des inscriptions pédagogiques</w:t>
            </w:r>
            <w:r>
              <w:rPr>
                <w:rFonts w:ascii="Calibri Light" w:hAnsi="Calibri Light" w:eastAsia="Calibri Light" w:cs="Calibri Light"/>
                <w:color w:val="000000"/>
                <w:sz w:val="20"/>
                <w:szCs w:val="20"/>
              </w:rPr>
              <w:t xml:space="preserve"> :</w:t>
            </w:r>
            <w:r>
              <w:rPr>
                <w:rFonts w:ascii="Calibri Light" w:hAnsi="Calibri Light" w:eastAsia="Calibri Light" w:cs="Calibri Light"/>
                <w:color w:val="000000"/>
                <w:sz w:val="20"/>
                <w:szCs w:val="20"/>
              </w:rPr>
            </w:r>
            <w:r>
              <w:rPr>
                <w:rFonts w:ascii="Calibri Light" w:hAnsi="Calibri Light" w:eastAsia="Calibri Light" w:cs="Calibri Light"/>
                <w:color w:val="000000"/>
                <w:sz w:val="20"/>
                <w:szCs w:val="20"/>
              </w:rPr>
            </w:r>
          </w:p>
          <w:p w14:paraId="49987E8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eastAsia="Calibri Light" w:cs="Calibri Light"/>
                <w:color w:val="000000"/>
                <w:sz w:val="20"/>
                <w:szCs w:val="20"/>
              </w:rPr>
            </w:pPr>
            <w:r>
              <w:rPr>
                <w:rFonts w:ascii="Calibri Light" w:hAnsi="Calibri Light" w:eastAsia="Calibri Light" w:cs="Calibri Light"/>
                <w:color w:val="000000"/>
                <w:sz w:val="20"/>
                <w:szCs w:val="20"/>
              </w:rPr>
              <w:t xml:space="preserve">Contenus et groupes de </w:t>
            </w:r>
            <w:r>
              <w:rPr>
                <w:rFonts w:ascii="Calibri Light" w:hAnsi="Calibri Light" w:eastAsia="Calibri Light" w:cs="Calibri Light"/>
                <w:color w:val="000000"/>
                <w:sz w:val="20"/>
                <w:szCs w:val="20"/>
              </w:rPr>
              <w:t xml:space="preserve">TDs</w:t>
            </w:r>
            <w:r>
              <w:rPr>
                <w:rFonts w:ascii="Calibri Light" w:hAnsi="Calibri Light" w:eastAsia="Calibri Light" w:cs="Calibri Light"/>
                <w:color w:val="000000"/>
                <w:sz w:val="20"/>
                <w:szCs w:val="20"/>
              </w:rPr>
              <w:t xml:space="preserve"> spécifiques selon que le stage est réalisé dans le champ de </w:t>
            </w:r>
            <w:r>
              <w:rPr>
                <w:rFonts w:ascii="Calibri Light" w:hAnsi="Calibri Light" w:eastAsia="Calibri Light" w:cs="Calibri Light"/>
                <w:color w:val="000000"/>
                <w:sz w:val="20"/>
                <w:szCs w:val="20"/>
              </w:rPr>
            </w:r>
            <w:r>
              <w:rPr>
                <w:rFonts w:ascii="Calibri Light" w:hAnsi="Calibri Light" w:eastAsia="Calibri Light" w:cs="Calibri Light"/>
                <w:color w:val="000000"/>
                <w:sz w:val="20"/>
                <w:szCs w:val="20"/>
              </w:rPr>
            </w:r>
          </w:p>
          <w:p w14:paraId="7A3AB8C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eastAsia="Calibri Light" w:cs="Calibri Light"/>
                <w:color w:val="000000"/>
                <w:sz w:val="20"/>
                <w:szCs w:val="20"/>
              </w:rPr>
            </w:pPr>
            <w:r>
              <w:rPr>
                <w:rFonts w:ascii="Calibri Light" w:hAnsi="Calibri Light" w:eastAsia="Calibri Light" w:cs="Calibri Light"/>
                <w:color w:val="000000"/>
                <w:sz w:val="20"/>
                <w:szCs w:val="20"/>
              </w:rPr>
              <w:t xml:space="preserve">1/ l’ergonomie : </w:t>
            </w:r>
            <w:r>
              <w:rPr>
                <w:rFonts w:ascii="Calibri Light" w:hAnsi="Calibri Light" w:eastAsia="Calibri Light" w:cs="Calibri Light"/>
                <w:b/>
                <w:bCs/>
                <w:color w:val="000000"/>
                <w:sz w:val="20"/>
                <w:szCs w:val="20"/>
              </w:rPr>
              <w:t xml:space="preserve">G07</w:t>
            </w:r>
            <w:r>
              <w:rPr>
                <w:rFonts w:ascii="Calibri Light" w:hAnsi="Calibri Light" w:eastAsia="Calibri Light" w:cs="Calibri Light"/>
                <w:color w:val="000000"/>
                <w:sz w:val="20"/>
                <w:szCs w:val="20"/>
              </w:rPr>
            </w:r>
            <w:r>
              <w:rPr>
                <w:rFonts w:ascii="Calibri Light" w:hAnsi="Calibri Light" w:eastAsia="Calibri Light" w:cs="Calibri Light"/>
                <w:color w:val="000000"/>
                <w:sz w:val="20"/>
                <w:szCs w:val="20"/>
              </w:rPr>
            </w:r>
          </w:p>
          <w:p w14:paraId="39CFFC9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eastAsia="Calibri Light" w:cs="Calibri Light"/>
                <w:b/>
                <w:bCs/>
                <w:color w:val="000000"/>
                <w:sz w:val="20"/>
                <w:szCs w:val="20"/>
              </w:rPr>
            </w:pPr>
            <w:r>
              <w:rPr>
                <w:rFonts w:ascii="Calibri Light" w:hAnsi="Calibri Light" w:eastAsia="Calibri Light" w:cs="Calibri Light"/>
                <w:color w:val="000000"/>
                <w:sz w:val="20"/>
                <w:szCs w:val="20"/>
              </w:rPr>
              <w:t xml:space="preserve">2/ de la psychopathologie cognitive et/ou neuropsychologie : </w:t>
            </w:r>
            <w:r>
              <w:rPr>
                <w:rFonts w:ascii="Calibri Light" w:hAnsi="Calibri Light" w:eastAsia="Calibri Light" w:cs="Calibri Light"/>
                <w:b/>
                <w:bCs/>
                <w:color w:val="000000"/>
                <w:sz w:val="20"/>
                <w:szCs w:val="20"/>
              </w:rPr>
              <w:t xml:space="preserve">groupes de TD G01 et G02 : vendredi 8h 10h et G06 et G08 : vendredi 10h 12h et G04 et G03 : vendredi 14h 16h + G05 : vendredi 16h 18h (à confirmer)</w:t>
            </w:r>
            <w:r>
              <w:rPr>
                <w:rFonts w:ascii="Calibri Light" w:hAnsi="Calibri Light" w:eastAsia="Calibri Light" w:cs="Calibri Light"/>
                <w:b/>
                <w:bCs/>
                <w:color w:val="000000"/>
                <w:sz w:val="20"/>
                <w:szCs w:val="20"/>
              </w:rPr>
            </w:r>
            <w:r>
              <w:rPr>
                <w:rFonts w:ascii="Calibri Light" w:hAnsi="Calibri Light" w:eastAsia="Calibri Light" w:cs="Calibri Light"/>
                <w:b/>
                <w:bCs/>
                <w:color w:val="000000"/>
                <w:sz w:val="20"/>
                <w:szCs w:val="20"/>
              </w:rPr>
            </w:r>
          </w:p>
          <w:p w14:paraId="7B1B0E2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eastAsia="Calibri Light" w:cs="Calibri Light"/>
                <w:color w:val="000000"/>
                <w:sz w:val="20"/>
                <w:szCs w:val="20"/>
              </w:rPr>
            </w:pPr>
            <w:r>
              <w:rPr>
                <w:rFonts w:ascii="Calibri Light" w:hAnsi="Calibri Light" w:eastAsia="Calibri Light" w:cs="Calibri Light"/>
                <w:b/>
                <w:bCs/>
                <w:color w:val="000000"/>
                <w:sz w:val="20"/>
                <w:szCs w:val="20"/>
              </w:rPr>
              <w:t xml:space="preserve">Attention : le choix du groupe en HPS6U31 dépend du groupe d’inscription en HPS5U31, objectif : garder le même chargé de cours au S5 et S6 pour la continuité du suivi pédagogique</w:t>
            </w:r>
            <w:r>
              <w:rPr>
                <w:rFonts w:ascii="Calibri Light" w:hAnsi="Calibri Light" w:eastAsia="Calibri Light" w:cs="Calibri Light"/>
                <w:color w:val="000000"/>
                <w:sz w:val="20"/>
                <w:szCs w:val="20"/>
              </w:rPr>
            </w:r>
            <w:r>
              <w:rPr>
                <w:rFonts w:ascii="Calibri Light" w:hAnsi="Calibri Light" w:eastAsia="Calibri Light" w:cs="Calibri Light"/>
                <w:color w:val="000000"/>
                <w:sz w:val="20"/>
                <w:szCs w:val="20"/>
              </w:rPr>
            </w:r>
          </w:p>
          <w:p w14:paraId="57FA65A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eastAsia="Calibri Light" w:cs="Calibri Light"/>
                <w:color w:val="000000"/>
                <w:sz w:val="20"/>
                <w:szCs w:val="20"/>
              </w:rPr>
            </w:pPr>
            <w:r>
              <w:rPr>
                <w:rFonts w:ascii="Calibri Light" w:hAnsi="Calibri Light" w:eastAsia="Calibri Light" w:cs="Calibri Light"/>
                <w:color w:val="000000"/>
                <w:sz w:val="20"/>
              </w:rPr>
              <w:t xml:space="preserve">Rappel : informations concernant le stage orientation « neuropsychologie clinique et psychopathologie » :</w:t>
            </w:r>
            <w:r>
              <w:rPr>
                <w:rFonts w:ascii="Calibri Light" w:hAnsi="Calibri Light" w:eastAsia="Calibri Light" w:cs="Calibri Light"/>
                <w:color w:val="000000"/>
                <w:sz w:val="20"/>
                <w:szCs w:val="20"/>
              </w:rPr>
            </w:r>
            <w:r>
              <w:rPr>
                <w:rFonts w:ascii="Calibri Light" w:hAnsi="Calibri Light" w:eastAsia="Calibri Light" w:cs="Calibri Light"/>
                <w:color w:val="000000"/>
                <w:sz w:val="20"/>
                <w:szCs w:val="20"/>
              </w:rPr>
            </w:r>
          </w:p>
          <w:p w14:paraId="3C19905B" w14:textId="77777777">
            <w:pPr>
              <w:pStyle w:val="1193"/>
              <w:numPr>
                <w:ilvl w:val="0"/>
                <w:numId w:val="33"/>
              </w:numPr>
              <w:pBdr>
                <w:top w:val="none" w:color="000000" w:sz="4" w:space="0"/>
                <w:left w:val="none" w:color="000000" w:sz="4" w:space="0"/>
                <w:bottom w:val="none" w:color="000000" w:sz="4" w:space="0"/>
                <w:right w:val="none" w:color="000000" w:sz="4" w:space="0"/>
              </w:pBdr>
              <w:spacing w:line="276" w:lineRule="atLeast"/>
              <w:ind w:hanging="283" w:left="283"/>
              <w:rPr>
                <w:sz w:val="20"/>
                <w:szCs w:val="20"/>
              </w:rPr>
            </w:pPr>
            <w:r>
              <w:rPr>
                <w:color w:val="000000"/>
                <w:sz w:val="20"/>
                <w:szCs w:val="20"/>
              </w:rPr>
              <w:t xml:space="preserve">Stage à réaliser </w:t>
            </w:r>
            <w:r>
              <w:rPr>
                <w:color w:val="000000"/>
                <w:sz w:val="20"/>
                <w:szCs w:val="20"/>
                <w:u w:val="single"/>
              </w:rPr>
              <w:t xml:space="preserve">obligatoirement auprès d’un psychologue</w:t>
            </w:r>
            <w:r>
              <w:rPr>
                <w:color w:val="000000"/>
                <w:sz w:val="20"/>
                <w:szCs w:val="20"/>
              </w:rPr>
              <w:t xml:space="preserve"> (pas d’obligation des 3 ans d’expérience professionnelle, le psychologue n’est pas nécessairement psychologue spécialisée en neuropsychologie mais a une pratique qui s’inscrit dans le champ de la psychopathologie cognitive, neuropsychologie)</w:t>
            </w:r>
            <w:r>
              <w:rPr>
                <w:sz w:val="20"/>
                <w:szCs w:val="20"/>
              </w:rPr>
            </w:r>
            <w:r>
              <w:rPr>
                <w:sz w:val="20"/>
                <w:szCs w:val="20"/>
              </w:rPr>
            </w:r>
          </w:p>
          <w:p w14:paraId="3BC3B5BF" w14:textId="77777777">
            <w:pPr>
              <w:pStyle w:val="1193"/>
              <w:numPr>
                <w:ilvl w:val="0"/>
                <w:numId w:val="33"/>
              </w:numPr>
              <w:pBdr>
                <w:top w:val="none" w:color="000000" w:sz="4" w:space="0"/>
                <w:left w:val="none" w:color="000000" w:sz="4" w:space="0"/>
                <w:bottom w:val="none" w:color="000000" w:sz="4" w:space="0"/>
                <w:right w:val="none" w:color="000000" w:sz="4" w:space="0"/>
              </w:pBdr>
              <w:spacing w:line="276" w:lineRule="atLeast"/>
              <w:ind w:hanging="283" w:left="283"/>
              <w:rPr>
                <w:sz w:val="20"/>
                <w:szCs w:val="20"/>
              </w:rPr>
            </w:pPr>
            <w:r>
              <w:rPr>
                <w:color w:val="000000"/>
                <w:sz w:val="20"/>
                <w:szCs w:val="20"/>
              </w:rPr>
              <w:t xml:space="preserve">Stage à réaliser d</w:t>
            </w:r>
            <w:r>
              <w:rPr>
                <w:color w:val="000000"/>
                <w:sz w:val="20"/>
                <w:szCs w:val="20"/>
                <w:u w:val="single"/>
              </w:rPr>
              <w:t xml:space="preserve">e préférence en institution</w:t>
            </w:r>
            <w:r>
              <w:rPr>
                <w:sz w:val="20"/>
                <w:szCs w:val="20"/>
              </w:rPr>
            </w:r>
            <w:r>
              <w:rPr>
                <w:sz w:val="20"/>
                <w:szCs w:val="20"/>
              </w:rPr>
            </w:r>
          </w:p>
          <w:p w14:paraId="5E202D30" w14:textId="77777777">
            <w:pPr>
              <w:pStyle w:val="1193"/>
              <w:numPr>
                <w:ilvl w:val="0"/>
                <w:numId w:val="33"/>
              </w:numPr>
              <w:pBdr>
                <w:top w:val="none" w:color="000000" w:sz="4" w:space="0"/>
                <w:left w:val="none" w:color="000000" w:sz="4" w:space="0"/>
                <w:bottom w:val="none" w:color="000000" w:sz="4" w:space="0"/>
                <w:right w:val="none" w:color="000000" w:sz="4" w:space="0"/>
              </w:pBdr>
              <w:tabs>
                <w:tab w:val="left" w:leader="none" w:pos="720"/>
              </w:tabs>
              <w:spacing w:line="276" w:lineRule="atLeast"/>
              <w:ind w:hanging="283" w:left="283"/>
              <w:rPr>
                <w:sz w:val="20"/>
                <w:szCs w:val="20"/>
              </w:rPr>
            </w:pPr>
            <w:r>
              <w:rPr>
                <w:color w:val="000000"/>
                <w:sz w:val="20"/>
                <w:szCs w:val="20"/>
              </w:rPr>
              <w:t xml:space="preserve">Stage à réaliser </w:t>
            </w:r>
            <w:r>
              <w:rPr>
                <w:color w:val="000000"/>
                <w:sz w:val="20"/>
                <w:szCs w:val="20"/>
                <w:u w:val="single"/>
              </w:rPr>
              <w:t xml:space="preserve">de préférence auprès d’un public adulte</w:t>
            </w:r>
            <w:r>
              <w:rPr>
                <w:sz w:val="20"/>
                <w:szCs w:val="20"/>
              </w:rPr>
            </w:r>
            <w:r>
              <w:rPr>
                <w:sz w:val="20"/>
                <w:szCs w:val="20"/>
              </w:rPr>
            </w:r>
          </w:p>
          <w:p w14:paraId="13726B3F" w14:textId="77777777">
            <w:pPr>
              <w:pStyle w:val="1193"/>
              <w:numPr>
                <w:ilvl w:val="0"/>
                <w:numId w:val="33"/>
              </w:numPr>
              <w:pBdr>
                <w:top w:val="none" w:color="000000" w:sz="4" w:space="0"/>
                <w:left w:val="none" w:color="000000" w:sz="4" w:space="0"/>
                <w:bottom w:val="none" w:color="000000" w:sz="4" w:space="0"/>
                <w:right w:val="none" w:color="000000" w:sz="4" w:space="0"/>
              </w:pBdr>
              <w:tabs>
                <w:tab w:val="left" w:leader="none" w:pos="720"/>
              </w:tabs>
              <w:spacing w:line="276" w:lineRule="atLeast"/>
              <w:ind w:hanging="283" w:left="283"/>
              <w:rPr>
                <w:sz w:val="20"/>
                <w:szCs w:val="20"/>
              </w:rPr>
            </w:pPr>
            <w:r>
              <w:rPr>
                <w:color w:val="000000"/>
                <w:sz w:val="20"/>
                <w:szCs w:val="20"/>
              </w:rPr>
              <w:t xml:space="preserve">Stage pouvant cibler des </w:t>
            </w:r>
            <w:r>
              <w:rPr>
                <w:color w:val="000000"/>
                <w:sz w:val="20"/>
                <w:szCs w:val="20"/>
                <w:u w:val="single"/>
              </w:rPr>
              <w:t xml:space="preserve">pratiques professionnelles aux objectifs divers et multiple</w:t>
            </w:r>
            <w:r>
              <w:rPr>
                <w:color w:val="000000"/>
                <w:sz w:val="20"/>
                <w:szCs w:val="20"/>
              </w:rPr>
              <w:t xml:space="preserve"> :  pratiques d’évaluation, remédiation cognitive, accompagnement, prévention, réhabilitation sociale, réinsertion, etc.</w:t>
            </w:r>
            <w:r>
              <w:rPr>
                <w:sz w:val="20"/>
                <w:szCs w:val="20"/>
              </w:rPr>
            </w:r>
            <w:r>
              <w:rPr>
                <w:sz w:val="20"/>
                <w:szCs w:val="20"/>
              </w:rPr>
            </w:r>
          </w:p>
          <w:p w14:paraId="27891D70" w14:textId="77777777">
            <w:pPr>
              <w:pStyle w:val="1193"/>
              <w:numPr>
                <w:ilvl w:val="0"/>
                <w:numId w:val="33"/>
              </w:numPr>
              <w:pBdr>
                <w:top w:val="none" w:color="000000" w:sz="4" w:space="0"/>
                <w:left w:val="none" w:color="000000" w:sz="4" w:space="0"/>
                <w:bottom w:val="none" w:color="000000" w:sz="4" w:space="0"/>
                <w:right w:val="none" w:color="000000" w:sz="4" w:space="0"/>
              </w:pBdr>
              <w:tabs>
                <w:tab w:val="left" w:leader="none" w:pos="720"/>
              </w:tabs>
              <w:spacing w:line="276" w:lineRule="atLeast"/>
              <w:ind w:hanging="283" w:left="283"/>
              <w:rPr>
                <w:sz w:val="20"/>
                <w:szCs w:val="20"/>
              </w:rPr>
            </w:pPr>
            <w:r>
              <w:rPr>
                <w:color w:val="000000"/>
                <w:sz w:val="20"/>
                <w:szCs w:val="20"/>
                <w:u w:val="single"/>
              </w:rPr>
              <w:t xml:space="preserve">Public rencontré lors du stage</w:t>
            </w:r>
            <w:r>
              <w:rPr>
                <w:color w:val="000000"/>
                <w:sz w:val="20"/>
                <w:szCs w:val="20"/>
              </w:rPr>
              <w:t xml:space="preserve"> : individus présentant différents troubles et/ou pathologies (</w:t>
            </w:r>
            <w:r>
              <w:rPr>
                <w:color w:val="000000"/>
                <w:sz w:val="20"/>
                <w:szCs w:val="20"/>
              </w:rPr>
              <w:t xml:space="preserve">exemples:</w:t>
            </w:r>
            <w:r>
              <w:rPr>
                <w:color w:val="000000"/>
                <w:sz w:val="20"/>
                <w:szCs w:val="20"/>
              </w:rPr>
              <w:t xml:space="preserve"> épilepsie, VIH, SEP, troubles neurocognitifs majeurs (démences), TDAH (adulte), TOC, troubles anxieux, dépression, troubles psychotiques (schizophrénie, troubles bipolaires), traumatismes crâniens, etc.)</w:t>
            </w:r>
            <w:r>
              <w:rPr>
                <w:sz w:val="20"/>
                <w:szCs w:val="20"/>
              </w:rPr>
            </w:r>
            <w:r>
              <w:rPr>
                <w:sz w:val="20"/>
                <w:szCs w:val="20"/>
              </w:rPr>
            </w:r>
          </w:p>
          <w:p w14:paraId="523B2B73" w14:textId="77777777">
            <w:pPr>
              <w:pStyle w:val="1193"/>
              <w:numPr>
                <w:ilvl w:val="0"/>
                <w:numId w:val="33"/>
              </w:numPr>
              <w:pBdr>
                <w:top w:val="none" w:color="000000" w:sz="4" w:space="0"/>
                <w:left w:val="none" w:color="000000" w:sz="4" w:space="0"/>
                <w:bottom w:val="none" w:color="000000" w:sz="4" w:space="0"/>
                <w:right w:val="none" w:color="000000" w:sz="4" w:space="0"/>
              </w:pBdr>
              <w:tabs>
                <w:tab w:val="left" w:leader="none" w:pos="720"/>
              </w:tabs>
              <w:spacing w:line="276" w:lineRule="atLeast"/>
              <w:ind w:hanging="283" w:left="283"/>
              <w:rPr>
                <w:sz w:val="20"/>
                <w:szCs w:val="20"/>
              </w:rPr>
            </w:pPr>
            <w:r>
              <w:rPr>
                <w:color w:val="000000"/>
                <w:sz w:val="20"/>
                <w:szCs w:val="20"/>
              </w:rPr>
              <w:t xml:space="preserve">Avoir la possibilité</w:t>
            </w:r>
            <w:r>
              <w:rPr>
                <w:color w:val="000000"/>
                <w:sz w:val="20"/>
                <w:szCs w:val="20"/>
                <w:u w:val="single"/>
              </w:rPr>
              <w:t xml:space="preserve"> d'observer tout ou partie des activités du psychologue</w:t>
            </w:r>
            <w:r>
              <w:rPr>
                <w:sz w:val="20"/>
                <w:szCs w:val="20"/>
              </w:rPr>
            </w:r>
            <w:r>
              <w:rPr>
                <w:sz w:val="20"/>
                <w:szCs w:val="20"/>
              </w:rPr>
            </w:r>
          </w:p>
          <w:p w14:paraId="42FECBD8" w14:textId="77777777">
            <w:pPr>
              <w:pStyle w:val="1193"/>
              <w:numPr>
                <w:ilvl w:val="0"/>
                <w:numId w:val="33"/>
              </w:numPr>
              <w:pBdr>
                <w:top w:val="none" w:color="000000" w:sz="4" w:space="0"/>
                <w:left w:val="none" w:color="000000" w:sz="4" w:space="0"/>
                <w:bottom w:val="none" w:color="000000" w:sz="4" w:space="0"/>
                <w:right w:val="none" w:color="000000" w:sz="4" w:space="0"/>
              </w:pBdr>
              <w:tabs>
                <w:tab w:val="left" w:leader="none" w:pos="720"/>
              </w:tabs>
              <w:spacing w:line="276" w:lineRule="atLeast"/>
              <w:ind w:hanging="283" w:left="283"/>
              <w:rPr>
                <w:color w:val="000000"/>
                <w:sz w:val="20"/>
                <w:szCs w:val="20"/>
              </w:rPr>
            </w:pPr>
            <w:r>
              <w:rPr>
                <w:color w:val="000000"/>
                <w:sz w:val="20"/>
                <w:szCs w:val="20"/>
              </w:rPr>
              <w:t xml:space="preserve">Avant toute démarche de demande de convention de stage sur </w:t>
            </w:r>
            <w:r>
              <w:rPr>
                <w:color w:val="000000"/>
                <w:sz w:val="20"/>
                <w:szCs w:val="20"/>
              </w:rPr>
              <w:t xml:space="preserve">AMUStage</w:t>
            </w:r>
            <w:r>
              <w:rPr>
                <w:color w:val="000000"/>
                <w:sz w:val="20"/>
                <w:szCs w:val="20"/>
              </w:rPr>
              <w:t xml:space="preserve">, le lieu de stage pressenti doit avoir été validé pédagogiquement par l'enseignant référent </w:t>
            </w:r>
            <w:r>
              <w:rPr>
                <w:color w:val="000000"/>
                <w:sz w:val="20"/>
                <w:szCs w:val="20"/>
              </w:rPr>
            </w:r>
            <w:r>
              <w:rPr>
                <w:color w:val="000000"/>
                <w:sz w:val="20"/>
                <w:szCs w:val="20"/>
              </w:rPr>
            </w:r>
          </w:p>
          <w:p w14:paraId="43DEFAFB" w14:textId="77777777">
            <w:pPr>
              <w:pStyle w:val="1193"/>
              <w:numPr>
                <w:ilvl w:val="0"/>
                <w:numId w:val="33"/>
              </w:numPr>
              <w:pBdr>
                <w:top w:val="none" w:color="000000" w:sz="4" w:space="0"/>
                <w:left w:val="none" w:color="000000" w:sz="4" w:space="0"/>
                <w:bottom w:val="none" w:color="000000" w:sz="4" w:space="0"/>
                <w:right w:val="none" w:color="000000" w:sz="4" w:space="0"/>
              </w:pBdr>
              <w:tabs>
                <w:tab w:val="left" w:leader="none" w:pos="720"/>
              </w:tabs>
              <w:spacing w:line="276" w:lineRule="atLeast"/>
              <w:ind w:hanging="283" w:left="283"/>
              <w:rPr>
                <w:sz w:val="20"/>
                <w:szCs w:val="20"/>
              </w:rPr>
            </w:pPr>
            <w:r>
              <w:rPr>
                <w:color w:val="000000"/>
                <w:sz w:val="20"/>
                <w:szCs w:val="20"/>
              </w:rPr>
              <w:t xml:space="preserve"> Le stage se déroule au semestre 5 (de préférence pas trop tôt dans le semestre) et/ou Semestre 6. L’objectif visé étant que le lieu de stage ait été trouvé pour la fin du semestre 5. Dans tous les cas, le rapport de stage sera à remettre au Semestre 6 </w:t>
            </w:r>
            <w:r>
              <w:rPr>
                <w:sz w:val="20"/>
                <w:szCs w:val="20"/>
              </w:rPr>
            </w:r>
            <w:r>
              <w:rPr>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6E5518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676221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color w:val="000000" w:themeColor="text1"/>
                <w:sz w:val="20"/>
                <w:szCs w:val="20"/>
              </w:rPr>
            </w:pPr>
            <w:r>
              <w:rPr>
                <w:rFonts w:ascii="Calibri Light" w:hAnsi="Calibri Light" w:eastAsia="Calibri Light" w:cs="Calibri Light"/>
                <w:color w:val="000000"/>
                <w:sz w:val="20"/>
              </w:rPr>
              <w:t xml:space="preserve">Séances de régulations de stage, mises en situation en TD par petits groupes, jeux de rôle, évaluation par les pairs</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2A9BB8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0"/>
                <w:szCs w:val="20"/>
              </w:rPr>
            </w:pP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48D269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0"/>
                <w:szCs w:val="20"/>
              </w:rPr>
            </w:pP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p>
        </w:tc>
      </w:tr>
      <w:tr>
        <w:trPr/>
        <w:tc>
          <w:tcPr>
            <w:shd w:val="clear" w:color="auto" w:fill="auto"/>
            <w:tcBorders>
              <w:left w:val="single" w:color="000000" w:sz="4" w:space="0"/>
              <w:bottom w:val="single" w:color="000000" w:sz="4" w:space="0"/>
            </w:tcBorders>
            <w:tcW w:w="3402" w:type="dxa"/>
          </w:tcPr>
          <w:p w14:paraId="61773B0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620BB8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Français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344B9C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E987AE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Psychologie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B14121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C067B3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24h TD</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AB97CD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p w14:paraId="08F8246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299F98F" w14:textId="77777777">
            <w:pPr>
              <w:pBdr>
                <w:top w:val="none" w:color="000000" w:sz="4" w:space="0"/>
                <w:left w:val="none" w:color="000000" w:sz="4" w:space="0"/>
                <w:bottom w:val="none" w:color="000000" w:sz="4" w:space="0"/>
                <w:right w:val="none" w:color="000000" w:sz="4" w:space="0"/>
                <w:between w:val="none" w:color="000000" w:sz="4" w:space="0"/>
              </w:pBdr>
              <w:spacing w:after="160"/>
              <w:ind w:firstLine="0"/>
              <w:contextualSpacing w:val="true"/>
              <w:rPr/>
            </w:pPr>
            <w:r>
              <w:rPr>
                <w:color w:val="000000"/>
                <w:sz w:val="20"/>
              </w:rPr>
              <w:t xml:space="preserve">Amieva</w:t>
            </w:r>
            <w:r>
              <w:rPr>
                <w:color w:val="000000"/>
                <w:sz w:val="20"/>
              </w:rPr>
              <w:t xml:space="preserve">, H., Belliard, S., &amp; Salmon, E. (2014). </w:t>
            </w:r>
            <w:r>
              <w:rPr>
                <w:i/>
                <w:color w:val="000000"/>
                <w:sz w:val="20"/>
              </w:rPr>
              <w:t xml:space="preserve">Les démences : Aspects cliniques, neuropsychologiques, physiopathologiques et thérapeutiques</w:t>
            </w:r>
            <w:r>
              <w:rPr>
                <w:color w:val="000000"/>
                <w:sz w:val="20"/>
              </w:rPr>
              <w:t xml:space="preserve">. De Boeck </w:t>
            </w:r>
            <w:r>
              <w:rPr>
                <w:color w:val="000000"/>
                <w:sz w:val="20"/>
              </w:rPr>
              <w:t xml:space="preserve">Superieur</w:t>
            </w:r>
            <w:r>
              <w:rPr>
                <w:color w:val="000000"/>
                <w:sz w:val="20"/>
              </w:rPr>
              <w:t xml:space="preserve">.</w:t>
            </w:r>
            <w:r/>
          </w:p>
          <w:p w14:paraId="5807B0E0" w14:textId="77777777">
            <w:pPr>
              <w:pBdr>
                <w:top w:val="none" w:color="000000" w:sz="4" w:space="0"/>
                <w:left w:val="none" w:color="000000" w:sz="4" w:space="0"/>
                <w:bottom w:val="none" w:color="000000" w:sz="4" w:space="0"/>
                <w:right w:val="none" w:color="000000" w:sz="4" w:space="0"/>
                <w:between w:val="none" w:color="000000" w:sz="4" w:space="0"/>
              </w:pBdr>
              <w:spacing w:after="160"/>
              <w:ind w:firstLine="0"/>
              <w:contextualSpacing w:val="true"/>
              <w:rPr/>
            </w:pPr>
            <w:r>
              <w:rPr>
                <w:rFonts w:ascii="Calibri Light" w:hAnsi="Calibri Light" w:eastAsia="Calibri Light" w:cs="Calibri Light"/>
                <w:color w:val="000000"/>
                <w:sz w:val="20"/>
              </w:rPr>
              <w:t xml:space="preserve">Bonnardel, N., </w:t>
            </w:r>
            <w:r>
              <w:rPr>
                <w:rFonts w:ascii="Calibri Light" w:hAnsi="Calibri Light" w:eastAsia="Calibri Light" w:cs="Calibri Light"/>
                <w:color w:val="000000"/>
                <w:sz w:val="20"/>
              </w:rPr>
              <w:t xml:space="preserve">Girandola</w:t>
            </w:r>
            <w:r>
              <w:rPr>
                <w:rFonts w:ascii="Calibri Light" w:hAnsi="Calibri Light" w:eastAsia="Calibri Light" w:cs="Calibri Light"/>
                <w:color w:val="000000"/>
                <w:sz w:val="20"/>
              </w:rPr>
              <w:t xml:space="preserve">, F., </w:t>
            </w:r>
            <w:r>
              <w:rPr>
                <w:rFonts w:ascii="Calibri Light" w:hAnsi="Calibri Light" w:eastAsia="Calibri Light" w:cs="Calibri Light"/>
                <w:color w:val="000000"/>
                <w:sz w:val="20"/>
              </w:rPr>
              <w:t xml:space="preserve">Bonetto</w:t>
            </w:r>
            <w:r>
              <w:rPr>
                <w:rFonts w:ascii="Calibri Light" w:hAnsi="Calibri Light" w:eastAsia="Calibri Light" w:cs="Calibri Light"/>
                <w:color w:val="000000"/>
                <w:sz w:val="20"/>
              </w:rPr>
              <w:t xml:space="preserve">, E., &amp; </w:t>
            </w:r>
            <w:r>
              <w:rPr>
                <w:rFonts w:ascii="Calibri Light" w:hAnsi="Calibri Light" w:eastAsia="Calibri Light" w:cs="Calibri Light"/>
                <w:color w:val="000000"/>
                <w:sz w:val="20"/>
              </w:rPr>
              <w:t xml:space="preserve">Lubart</w:t>
            </w:r>
            <w:r>
              <w:rPr>
                <w:rFonts w:ascii="Calibri Light" w:hAnsi="Calibri Light" w:eastAsia="Calibri Light" w:cs="Calibri Light"/>
                <w:color w:val="000000"/>
                <w:sz w:val="20"/>
              </w:rPr>
              <w:t xml:space="preserve">, T. (</w:t>
            </w:r>
            <w:r>
              <w:rPr>
                <w:rFonts w:ascii="Calibri Light" w:hAnsi="Calibri Light" w:eastAsia="Calibri Light" w:cs="Calibri Light"/>
                <w:color w:val="000000"/>
                <w:sz w:val="20"/>
              </w:rPr>
              <w:t xml:space="preserve">Eds</w:t>
            </w:r>
            <w:r>
              <w:rPr>
                <w:rFonts w:ascii="Calibri Light" w:hAnsi="Calibri Light" w:eastAsia="Calibri Light" w:cs="Calibri Light"/>
                <w:color w:val="000000"/>
                <w:sz w:val="20"/>
              </w:rPr>
              <w:t xml:space="preserve">, 2023). </w:t>
            </w:r>
            <w:r>
              <w:rPr>
                <w:rFonts w:ascii="Calibri Light" w:hAnsi="Calibri Light" w:eastAsia="Calibri Light" w:cs="Calibri Light"/>
                <w:i/>
                <w:color w:val="000000"/>
                <w:sz w:val="20"/>
              </w:rPr>
              <w:t xml:space="preserve">La créativité en situations : Théories et applications. </w:t>
            </w:r>
            <w:r>
              <w:rPr>
                <w:rFonts w:ascii="Calibri Light" w:hAnsi="Calibri Light" w:eastAsia="Calibri Light" w:cs="Calibri Light"/>
                <w:color w:val="000000"/>
                <w:sz w:val="20"/>
              </w:rPr>
              <w:t xml:space="preserve">Paris : Dunod.</w:t>
            </w:r>
            <w:r>
              <w:rPr>
                <w:rFonts w:ascii="Calibri Light" w:hAnsi="Calibri Light" w:eastAsia="Calibri Light" w:cs="Calibri Light"/>
                <w:color w:val="000000"/>
                <w:sz w:val="20"/>
              </w:rPr>
              <w:br/>
              <w:t xml:space="preserve"> Bonnardel, N. (2012). </w:t>
            </w:r>
            <w:r>
              <w:rPr>
                <w:rFonts w:ascii="Calibri Light" w:hAnsi="Calibri Light" w:eastAsia="Calibri Light" w:cs="Calibri Light"/>
                <w:i/>
                <w:color w:val="000000"/>
                <w:sz w:val="20"/>
              </w:rPr>
              <w:t xml:space="preserve">Créativité et Conception : Approches Cognitives et Ergonomiques.</w:t>
            </w:r>
            <w:r>
              <w:rPr>
                <w:rFonts w:ascii="Calibri Light" w:hAnsi="Calibri Light" w:eastAsia="Calibri Light" w:cs="Calibri Light"/>
                <w:color w:val="000000"/>
                <w:sz w:val="20"/>
              </w:rPr>
              <w:t xml:space="preserve"> De Boeck Supérieur.</w:t>
            </w:r>
            <w:r/>
          </w:p>
          <w:p w14:paraId="3A19579E" w14:textId="77777777">
            <w:pPr>
              <w:pBdr>
                <w:top w:val="none" w:color="000000" w:sz="4" w:space="0"/>
                <w:left w:val="none" w:color="000000" w:sz="4" w:space="0"/>
                <w:bottom w:val="none" w:color="000000" w:sz="4" w:space="0"/>
                <w:right w:val="none" w:color="000000" w:sz="4" w:space="0"/>
                <w:between w:val="none" w:color="000000" w:sz="4" w:space="0"/>
              </w:pBdr>
              <w:spacing w:after="160"/>
              <w:ind w:firstLine="0"/>
              <w:contextualSpacing w:val="true"/>
              <w:rPr/>
            </w:pPr>
            <w:r>
              <w:rPr>
                <w:rFonts w:ascii="Calibri Light" w:hAnsi="Calibri Light" w:eastAsia="Calibri Light" w:cs="Calibri Light"/>
                <w:color w:val="000000"/>
                <w:sz w:val="20"/>
              </w:rPr>
              <w:t xml:space="preserve">Brangier</w:t>
            </w:r>
            <w:r>
              <w:rPr>
                <w:rFonts w:ascii="Calibri Light" w:hAnsi="Calibri Light" w:eastAsia="Calibri Light" w:cs="Calibri Light"/>
                <w:color w:val="000000"/>
                <w:sz w:val="20"/>
              </w:rPr>
              <w:t xml:space="preserve">, E. &amp; </w:t>
            </w:r>
            <w:r>
              <w:rPr>
                <w:rFonts w:ascii="Calibri Light" w:hAnsi="Calibri Light" w:eastAsia="Calibri Light" w:cs="Calibri Light"/>
                <w:color w:val="000000"/>
                <w:sz w:val="20"/>
              </w:rPr>
              <w:t xml:space="preserve">Valléry</w:t>
            </w:r>
            <w:r>
              <w:rPr>
                <w:rFonts w:ascii="Calibri Light" w:hAnsi="Calibri Light" w:eastAsia="Calibri Light" w:cs="Calibri Light"/>
                <w:color w:val="000000"/>
                <w:sz w:val="20"/>
              </w:rPr>
              <w:t xml:space="preserve">, G. (2021, </w:t>
            </w:r>
            <w:r>
              <w:rPr>
                <w:rFonts w:ascii="Calibri Light" w:hAnsi="Calibri Light" w:eastAsia="Calibri Light" w:cs="Calibri Light"/>
                <w:color w:val="000000"/>
                <w:sz w:val="20"/>
              </w:rPr>
              <w:t xml:space="preserve">Eds</w:t>
            </w:r>
            <w:r>
              <w:rPr>
                <w:rFonts w:ascii="Calibri Light" w:hAnsi="Calibri Light" w:eastAsia="Calibri Light" w:cs="Calibri Light"/>
                <w:color w:val="000000"/>
                <w:sz w:val="20"/>
              </w:rPr>
              <w:t xml:space="preserve">). </w:t>
            </w:r>
            <w:r>
              <w:rPr>
                <w:rFonts w:ascii="Calibri Light" w:hAnsi="Calibri Light" w:eastAsia="Calibri Light" w:cs="Calibri Light"/>
                <w:i/>
                <w:color w:val="000000"/>
                <w:sz w:val="20"/>
              </w:rPr>
              <w:t xml:space="preserve">Ergonomie : 150 notions clés</w:t>
            </w:r>
            <w:r>
              <w:rPr>
                <w:rFonts w:ascii="Calibri Light" w:hAnsi="Calibri Light" w:eastAsia="Calibri Light" w:cs="Calibri Light"/>
                <w:color w:val="000000"/>
                <w:sz w:val="20"/>
              </w:rPr>
              <w:t xml:space="preserve">. Paris : Dunod</w:t>
            </w:r>
            <w:r/>
          </w:p>
          <w:p w14:paraId="794324DB" w14:textId="77777777">
            <w:pPr>
              <w:pBdr>
                <w:top w:val="none" w:color="000000" w:sz="4" w:space="0"/>
                <w:left w:val="none" w:color="000000" w:sz="4" w:space="0"/>
                <w:bottom w:val="none" w:color="000000" w:sz="4" w:space="0"/>
                <w:right w:val="none" w:color="000000" w:sz="4" w:space="0"/>
                <w:between w:val="none" w:color="000000" w:sz="4" w:space="0"/>
              </w:pBdr>
              <w:spacing w:after="160"/>
              <w:ind w:firstLine="0"/>
              <w:contextualSpacing w:val="true"/>
              <w:rPr/>
            </w:pPr>
            <w:r>
              <w:rPr>
                <w:rFonts w:ascii="Calibri Light" w:hAnsi="Calibri Light" w:eastAsia="Calibri Light" w:cs="Calibri Light"/>
                <w:color w:val="000000"/>
                <w:sz w:val="20"/>
              </w:rPr>
              <w:t xml:space="preserve">Lallemand, C. &amp; </w:t>
            </w:r>
            <w:r>
              <w:rPr>
                <w:rFonts w:ascii="Calibri Light" w:hAnsi="Calibri Light" w:eastAsia="Calibri Light" w:cs="Calibri Light"/>
                <w:color w:val="000000"/>
                <w:sz w:val="20"/>
              </w:rPr>
              <w:t xml:space="preserve">Gronier</w:t>
            </w:r>
            <w:r>
              <w:rPr>
                <w:rFonts w:ascii="Calibri Light" w:hAnsi="Calibri Light" w:eastAsia="Calibri Light" w:cs="Calibri Light"/>
                <w:color w:val="000000"/>
                <w:sz w:val="20"/>
              </w:rPr>
              <w:t xml:space="preserve">, G. </w:t>
            </w:r>
            <w:r>
              <w:rPr>
                <w:rFonts w:ascii="Calibri Light" w:hAnsi="Calibri Light" w:eastAsia="Calibri Light" w:cs="Calibri Light"/>
                <w:i/>
                <w:color w:val="000000"/>
                <w:sz w:val="20"/>
              </w:rPr>
              <w:t xml:space="preserve">Méthodes de design UX</w:t>
            </w:r>
            <w:r>
              <w:rPr>
                <w:rFonts w:ascii="Calibri Light" w:hAnsi="Calibri Light" w:eastAsia="Calibri Light" w:cs="Calibri Light"/>
                <w:color w:val="000000"/>
                <w:sz w:val="20"/>
              </w:rPr>
              <w:t xml:space="preserve">. Eyrolles</w:t>
            </w:r>
            <w:r/>
          </w:p>
          <w:p w14:paraId="1FE9EB4F" w14:textId="77777777">
            <w:pPr>
              <w:pBdr>
                <w:top w:val="none" w:color="000000" w:sz="4" w:space="0"/>
                <w:left w:val="none" w:color="000000" w:sz="4" w:space="0"/>
                <w:bottom w:val="none" w:color="000000" w:sz="4" w:space="0"/>
                <w:right w:val="none" w:color="000000" w:sz="4" w:space="0"/>
                <w:between w:val="none" w:color="000000" w:sz="4" w:space="0"/>
              </w:pBdr>
              <w:spacing w:after="160"/>
              <w:ind w:firstLine="0"/>
              <w:contextualSpacing w:val="true"/>
              <w:rPr/>
            </w:pPr>
            <w:r>
              <w:rPr>
                <w:color w:val="000000"/>
                <w:sz w:val="20"/>
              </w:rPr>
              <w:t xml:space="preserve">Cislaru</w:t>
            </w:r>
            <w:r>
              <w:rPr>
                <w:color w:val="000000"/>
                <w:sz w:val="20"/>
              </w:rPr>
              <w:t xml:space="preserve">, G., Claudel, C., &amp; Vlad, M. (2020). </w:t>
            </w:r>
            <w:r>
              <w:rPr>
                <w:i/>
                <w:color w:val="000000"/>
                <w:sz w:val="20"/>
              </w:rPr>
              <w:t xml:space="preserve">L'écrit universitaire en pratique</w:t>
            </w:r>
            <w:r>
              <w:rPr>
                <w:color w:val="000000"/>
                <w:sz w:val="20"/>
              </w:rPr>
              <w:t xml:space="preserve">. De Boeck Supérieur.</w:t>
            </w:r>
            <w:r/>
          </w:p>
          <w:p w14:paraId="6BF4F204" w14:textId="77777777">
            <w:pPr>
              <w:pBdr>
                <w:top w:val="none" w:color="000000" w:sz="4" w:space="0"/>
                <w:left w:val="none" w:color="000000" w:sz="4" w:space="0"/>
                <w:bottom w:val="none" w:color="000000" w:sz="4" w:space="0"/>
                <w:right w:val="none" w:color="000000" w:sz="4" w:space="0"/>
                <w:between w:val="none" w:color="000000" w:sz="4" w:space="0"/>
              </w:pBdr>
              <w:spacing w:after="160"/>
              <w:ind w:firstLine="0"/>
              <w:contextualSpacing w:val="true"/>
              <w:rPr/>
            </w:pPr>
            <w:r>
              <w:rPr>
                <w:color w:val="000000"/>
                <w:sz w:val="20"/>
              </w:rPr>
              <w:t xml:space="preserve">Masson, D., &amp; Franck, N. (2023). </w:t>
            </w:r>
            <w:r>
              <w:rPr>
                <w:i/>
                <w:color w:val="000000"/>
                <w:sz w:val="20"/>
              </w:rPr>
              <w:t xml:space="preserve">Des soins porteurs d'espoir en psychiatrie-La réhabilitation psychosociale</w:t>
            </w:r>
            <w:r>
              <w:rPr>
                <w:color w:val="000000"/>
                <w:sz w:val="20"/>
              </w:rPr>
              <w:t xml:space="preserve">. Le Coudrier.</w:t>
            </w:r>
            <w:r/>
          </w:p>
          <w:p w14:paraId="2EF565C3" w14:textId="77777777">
            <w:pPr>
              <w:pBdr>
                <w:top w:val="none" w:color="000000" w:sz="4" w:space="0"/>
                <w:left w:val="none" w:color="000000" w:sz="4" w:space="0"/>
                <w:bottom w:val="none" w:color="000000" w:sz="4" w:space="0"/>
                <w:right w:val="none" w:color="000000" w:sz="4" w:space="0"/>
                <w:between w:val="none" w:color="000000" w:sz="4" w:space="0"/>
              </w:pBdr>
              <w:spacing/>
              <w:ind w:firstLine="0"/>
              <w:contextualSpacing w:val="true"/>
              <w:rPr>
                <w:rFonts w:ascii="Calibri Light" w:hAnsi="Calibri Light" w:eastAsia="Calibri Light" w:cs="Calibri Light"/>
                <w:color w:val="000000"/>
                <w:sz w:val="20"/>
                <w:szCs w:val="20"/>
              </w:rPr>
            </w:pPr>
            <w:r>
              <w:rPr>
                <w:rFonts w:ascii="Calibri Light" w:hAnsi="Calibri Light" w:eastAsia="Calibri Light" w:cs="Calibri Light"/>
                <w:color w:val="000000"/>
                <w:sz w:val="20"/>
              </w:rPr>
              <w:t xml:space="preserve">Noulin</w:t>
            </w:r>
            <w:r>
              <w:rPr>
                <w:rFonts w:ascii="Calibri Light" w:hAnsi="Calibri Light" w:eastAsia="Calibri Light" w:cs="Calibri Light"/>
                <w:color w:val="000000"/>
                <w:sz w:val="20"/>
              </w:rPr>
              <w:t xml:space="preserve">, M. (2002). </w:t>
            </w:r>
            <w:r>
              <w:rPr>
                <w:rFonts w:ascii="Calibri Light" w:hAnsi="Calibri Light" w:eastAsia="Calibri Light" w:cs="Calibri Light"/>
                <w:i/>
                <w:color w:val="000000"/>
                <w:sz w:val="20"/>
              </w:rPr>
              <w:t xml:space="preserve">Ergonomie</w:t>
            </w:r>
            <w:r>
              <w:rPr>
                <w:rFonts w:ascii="Calibri Light" w:hAnsi="Calibri Light" w:eastAsia="Calibri Light" w:cs="Calibri Light"/>
                <w:color w:val="000000"/>
                <w:sz w:val="20"/>
              </w:rPr>
              <w:t xml:space="preserve">. </w:t>
            </w:r>
            <w:r>
              <w:rPr>
                <w:rFonts w:ascii="Calibri Light" w:hAnsi="Calibri Light" w:eastAsia="Calibri Light" w:cs="Calibri Light"/>
                <w:color w:val="000000"/>
                <w:sz w:val="20"/>
              </w:rPr>
              <w:t xml:space="preserve">Octarès</w:t>
            </w:r>
            <w:r>
              <w:rPr>
                <w:rFonts w:ascii="Calibri Light" w:hAnsi="Calibri Light" w:eastAsia="Calibri Light" w:cs="Calibri Light"/>
                <w:color w:val="000000"/>
                <w:sz w:val="20"/>
              </w:rPr>
              <w:t xml:space="preserve">.</w:t>
            </w:r>
            <w:r>
              <w:rPr>
                <w:rFonts w:ascii="Calibri Light" w:hAnsi="Calibri Light" w:eastAsia="Calibri Light" w:cs="Calibri Light"/>
                <w:color w:val="000000"/>
                <w:sz w:val="20"/>
                <w:szCs w:val="20"/>
              </w:rPr>
            </w:r>
            <w:r>
              <w:rPr>
                <w:rFonts w:ascii="Calibri Light" w:hAnsi="Calibri Light" w:eastAsia="Calibri Light" w:cs="Calibri Light"/>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964E96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2"/>
                <w:szCs w:val="20"/>
              </w:rPr>
            </w:pP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F5B0CF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2"/>
                <w:szCs w:val="20"/>
              </w:rPr>
            </w:pP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p>
        </w:tc>
      </w:tr>
      <w:tr>
        <w:trPr/>
        <w:tc>
          <w:tcPr>
            <w:shd w:val="clear" w:color="auto" w:fill="auto"/>
            <w:tcBorders>
              <w:left w:val="single" w:color="000000" w:sz="4" w:space="0"/>
              <w:bottom w:val="single" w:color="000000" w:sz="4" w:space="0"/>
            </w:tcBorders>
            <w:tcW w:w="3402" w:type="dxa"/>
          </w:tcPr>
          <w:p w14:paraId="7023EFD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DB5E61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t xml:space="preserve">Contrôle terminal </w:t>
            </w:r>
            <w:r>
              <w:rPr>
                <w:rFonts w:eastAsia="Liberation Sans" w:asciiTheme="majorHAnsi" w:hAnsiTheme="majorHAnsi" w:cstheme="majorHAnsi"/>
                <w:i/>
                <w:color w:val="000000" w:themeColor="text1"/>
                <w:sz w:val="20"/>
                <w:szCs w:val="20"/>
              </w:rPr>
              <w:t xml:space="preserve">( </w:t>
            </w:r>
            <w:r>
              <w:rPr>
                <w:rFonts w:ascii="Calibri Light" w:hAnsi="Calibri Light" w:eastAsia="Calibri Light" w:cs="Calibri Light"/>
                <w:color w:val="000000"/>
                <w:sz w:val="20"/>
              </w:rPr>
              <w:t xml:space="preserve">rapport</w:t>
            </w:r>
            <w:r>
              <w:rPr>
                <w:rFonts w:ascii="Calibri Light" w:hAnsi="Calibri Light" w:eastAsia="Calibri Light" w:cs="Calibri Light"/>
                <w:color w:val="000000"/>
                <w:sz w:val="20"/>
              </w:rPr>
              <w:t xml:space="preserve"> 100 % )</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r>
    </w:tbl>
    <w:p w14:paraId="1BB4E311" w14:textId="0577CE68">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60362D58" w14:textId="19766056">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6D5A9523" w14:textId="47184E02">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0A758AF5" w14:textId="5A607F84">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4308D2BB" w14:textId="4E669F1F">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51F350B6" w14:textId="7E6C37E5">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18A94DF8"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5A9EDEEC" w14:textId="1BDAF148">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39672010" w14:textId="4445D589">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461DCCCC" w14:textId="00469AC2">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2FABC67D" w14:textId="6BEA8439">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1EDF6CA1" w14:textId="7C5721F2">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35BE295D" w14:textId="5B45B6B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p w14:paraId="1C7F73D5" w14:textId="77777777">
      <w:pPr>
        <w:pBdr/>
        <w:spacing/>
        <w:ind/>
        <w:rPr>
          <w:rFonts w:asciiTheme="majorHAnsi" w:hAnsiTheme="majorHAnsi" w:cstheme="majorHAnsi"/>
          <w:b/>
          <w:color w:val="000000"/>
          <w:sz w:val="20"/>
          <w:szCs w:val="20"/>
        </w:rPr>
      </w:pPr>
      <w:r>
        <w:rPr>
          <w:rFonts w:asciiTheme="majorHAnsi" w:hAnsiTheme="majorHAnsi" w:cstheme="majorHAnsi"/>
          <w:b/>
          <w:color w:val="000000"/>
          <w:sz w:val="20"/>
          <w:szCs w:val="20"/>
        </w:rPr>
      </w:r>
      <w:r>
        <w:rPr>
          <w:rFonts w:asciiTheme="majorHAnsi" w:hAnsiTheme="majorHAnsi" w:cstheme="majorHAnsi"/>
          <w:b/>
          <w:color w:val="000000"/>
          <w:sz w:val="20"/>
          <w:szCs w:val="20"/>
        </w:rPr>
      </w:r>
      <w:r>
        <w:rPr>
          <w:rFonts w:asciiTheme="majorHAnsi" w:hAnsiTheme="majorHAnsi" w:cstheme="majorHAnsi"/>
          <w:b/>
          <w:color w:val="000000"/>
          <w:sz w:val="20"/>
          <w:szCs w:val="20"/>
        </w:rPr>
      </w:r>
    </w:p>
    <w:p w14:paraId="4B37B513" w14:textId="77777777">
      <w:pPr>
        <w:pBdr/>
        <w:spacing/>
        <w:ind/>
        <w:rPr>
          <w:rFonts w:asciiTheme="majorHAnsi" w:hAnsiTheme="majorHAnsi" w:cstheme="majorHAnsi"/>
          <w:color w:val="000000"/>
          <w:sz w:val="20"/>
          <w:szCs w:val="20"/>
        </w:rPr>
      </w:pPr>
      <w:r>
        <w:rPr>
          <w:rFonts w:asciiTheme="majorHAnsi" w:hAnsiTheme="majorHAnsi" w:cstheme="majorHAnsi"/>
          <w:color w:val="000000"/>
          <w:sz w:val="20"/>
          <w:szCs w:val="20"/>
        </w:rPr>
      </w:r>
      <w:r>
        <w:rPr>
          <w:rFonts w:asciiTheme="majorHAnsi" w:hAnsiTheme="majorHAnsi" w:cstheme="majorHAnsi"/>
          <w:color w:val="000000"/>
          <w:sz w:val="20"/>
          <w:szCs w:val="20"/>
        </w:rPr>
      </w:r>
      <w:r>
        <w:rPr>
          <w:rFonts w:asciiTheme="majorHAnsi" w:hAnsiTheme="majorHAnsi" w:cstheme="majorHAnsi"/>
          <w:color w:val="000000"/>
          <w:sz w:val="20"/>
          <w:szCs w:val="20"/>
        </w:rPr>
      </w:r>
    </w:p>
    <w:p w14:paraId="332A76D1" w14:textId="3220EDA6">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br w:type="page" w:clear="all"/>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bl>
      <w:tblPr>
        <w:tblStyle w:val="1166"/>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554B5123"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574929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43B9385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33B34AA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HPS6U32</w:t>
            </w:r>
            <w:r>
              <w:rPr>
                <w:rFonts w:eastAsia="Liberation Sans" w:asciiTheme="majorHAnsi" w:hAnsiTheme="majorHAnsi" w:cstheme="majorHAnsi"/>
                <w:b/>
                <w:color w:val="000000" w:themeColor="text1"/>
                <w:sz w:val="20"/>
                <w:szCs w:val="20"/>
                <w:highlight w:val="yellow"/>
              </w:rPr>
            </w:r>
            <w:r>
              <w:rPr>
                <w:rFonts w:eastAsia="Liberation Sans" w:asciiTheme="majorHAnsi" w:hAnsiTheme="majorHAnsi" w:cstheme="majorHAnsi"/>
                <w:b/>
                <w:color w:val="000000" w:themeColor="text1"/>
                <w:sz w:val="20"/>
                <w:szCs w:val="20"/>
                <w:highlight w:val="yellow"/>
              </w:rPr>
            </w:r>
          </w:p>
        </w:tc>
      </w:tr>
      <w:tr>
        <w:trPr/>
        <w:tc>
          <w:tcPr>
            <w:shd w:val="clear" w:color="auto" w:fill="auto"/>
            <w:tcBorders>
              <w:left w:val="single" w:color="000000" w:sz="4" w:space="0"/>
              <w:bottom w:val="single" w:color="000000" w:sz="4" w:space="0"/>
            </w:tcBorders>
            <w:tcW w:w="3402" w:type="dxa"/>
          </w:tcPr>
          <w:p w14:paraId="46555B3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3980DF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Développement/Différentielle PPO</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1EACAAB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11E40B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Psychologie clinique du développement ; Psychologie de l’orientation, de l’insertion et du conseil</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ED916E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9515DE3" w14:textId="77777777">
            <w:pPr>
              <w:pBdr>
                <w:top w:val="none" w:color="000000" w:sz="4" w:space="0"/>
                <w:left w:val="none" w:color="000000" w:sz="4" w:space="0"/>
                <w:bottom w:val="none" w:color="000000" w:sz="4" w:space="0"/>
                <w:right w:val="none" w:color="000000" w:sz="4" w:space="0"/>
              </w:pBdr>
              <w:spacing/>
              <w:ind w:firstLine="0"/>
              <w:jc w:val="both"/>
              <w:rPr/>
            </w:pPr>
            <w:r>
              <w:rPr>
                <w:rFonts w:eastAsia="Arial"/>
                <w:color w:val="000000"/>
                <w:sz w:val="20"/>
              </w:rPr>
              <w:t xml:space="preserve">L’Un</w:t>
            </w:r>
            <w:r>
              <w:rPr>
                <w:rFonts w:eastAsia="Arial"/>
                <w:color w:val="000000"/>
                <w:sz w:val="20"/>
              </w:rPr>
              <w:t xml:space="preserve">ité d’Enseignement vise à approfondir la compréhension des cadres théoriques et méthodologiques sur lesquels se fonde l’exercice professionnel des psychologues cliniciens du développement et des psychologues de l’orientation, de l’insertion et du conseil. </w:t>
            </w:r>
            <w:r/>
          </w:p>
          <w:p w14:paraId="618B9492" w14:textId="77777777">
            <w:pPr>
              <w:pBdr>
                <w:top w:val="none" w:color="000000" w:sz="4" w:space="0"/>
                <w:left w:val="none" w:color="000000" w:sz="4" w:space="0"/>
                <w:bottom w:val="none" w:color="000000" w:sz="4" w:space="0"/>
                <w:right w:val="none" w:color="000000" w:sz="4" w:space="0"/>
              </w:pBdr>
              <w:spacing/>
              <w:ind w:firstLine="0"/>
              <w:jc w:val="both"/>
              <w:rPr/>
            </w:pPr>
            <w:r>
              <w:rPr>
                <w:rFonts w:eastAsia="Arial"/>
                <w:color w:val="000000"/>
                <w:sz w:val="20"/>
              </w:rPr>
              <w:t xml:space="preserve">Dans cet objectif les travaux dirigés prennent deux formes : </w:t>
            </w:r>
            <w:r/>
          </w:p>
          <w:p w14:paraId="42CF8D57" w14:textId="77777777">
            <w:pPr>
              <w:numPr>
                <w:ilvl w:val="0"/>
                <w:numId w:val="34"/>
              </w:numPr>
              <w:pBdr>
                <w:top w:val="none" w:color="000000" w:sz="4" w:space="0"/>
                <w:left w:val="none" w:color="000000" w:sz="4" w:space="0"/>
                <w:bottom w:val="none" w:color="000000" w:sz="4" w:space="0"/>
                <w:right w:val="none" w:color="000000" w:sz="4" w:space="0"/>
              </w:pBdr>
              <w:spacing/>
              <w:ind w:hanging="218" w:left="283"/>
              <w:jc w:val="both"/>
              <w:rPr/>
            </w:pPr>
            <w:r>
              <w:rPr>
                <w:rFonts w:eastAsia="Arial"/>
                <w:color w:val="000000"/>
                <w:sz w:val="20"/>
              </w:rPr>
              <w:t xml:space="preserve">Des séances de régulation permettant d’accompagner la réflexion sur l’expérience de stage et la compréhension des attendus d’un rapport de stage en psychologie : analyse du contex</w:t>
            </w:r>
            <w:r>
              <w:rPr>
                <w:rFonts w:eastAsia="Arial"/>
                <w:color w:val="000000"/>
                <w:sz w:val="20"/>
              </w:rPr>
              <w:t xml:space="preserve">te institutionnel ; analyse des spécificités du fonctionnement et des besoins psychologiques des personnes accompagnées ; analyse des fondements théoriques et méthodologiques des pratiques ; analyse de l’implication personnelle dans l’expérience de stage. </w:t>
            </w:r>
            <w:r/>
          </w:p>
          <w:p w14:paraId="2F6E1674" w14:textId="77777777">
            <w:pPr>
              <w:numPr>
                <w:ilvl w:val="0"/>
                <w:numId w:val="34"/>
              </w:numPr>
              <w:pBdr>
                <w:top w:val="none" w:color="000000" w:sz="4" w:space="0"/>
                <w:left w:val="none" w:color="000000" w:sz="4" w:space="0"/>
                <w:bottom w:val="none" w:color="000000" w:sz="4" w:space="0"/>
                <w:right w:val="none" w:color="000000" w:sz="4" w:space="0"/>
              </w:pBdr>
              <w:spacing/>
              <w:ind w:hanging="218" w:left="283"/>
              <w:jc w:val="both"/>
              <w:rPr/>
            </w:pPr>
            <w:r>
              <w:rPr>
                <w:rFonts w:eastAsia="Arial"/>
                <w:color w:val="000000"/>
                <w:sz w:val="20"/>
              </w:rPr>
              <w:t xml:space="preserve">Des séances de travail permettant d’approfondir la compréhension des fondements théoriques et méthodologiques des pratiques psychologiques sur la base d’analyses de textes, d’analyses de conférences et de témoignages de professionnels.</w:t>
            </w:r>
            <w:r/>
          </w:p>
        </w:tc>
      </w:tr>
      <w:tr>
        <w:trPr/>
        <w:tc>
          <w:tcPr>
            <w:shd w:val="clear" w:color="auto" w:fill="auto"/>
            <w:tcBorders>
              <w:top w:val="single" w:color="000000" w:sz="4" w:space="0"/>
              <w:left w:val="single" w:color="000000" w:sz="4" w:space="0"/>
              <w:bottom w:val="single" w:color="000000" w:sz="4" w:space="0"/>
            </w:tcBorders>
            <w:tcW w:w="3402" w:type="dxa"/>
          </w:tcPr>
          <w:p w14:paraId="5B55F52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BA9C99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3 ECTS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AB71A07"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D6E630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EE5084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37C024E" w14:textId="77777777">
            <w:pPr>
              <w:pStyle w:val="1193"/>
              <w:numPr>
                <w:ilvl w:val="0"/>
                <w:numId w:val="35"/>
              </w:numPr>
              <w:pBdr>
                <w:top w:val="none" w:color="000000" w:sz="4" w:space="0"/>
                <w:left w:val="none" w:color="000000" w:sz="4" w:space="0"/>
                <w:bottom w:val="none" w:color="000000" w:sz="4" w:space="0"/>
                <w:right w:val="none" w:color="000000" w:sz="4" w:space="0"/>
                <w:between w:val="none" w:color="000000" w:sz="4" w:space="0"/>
              </w:pBdr>
              <w:spacing/>
              <w:ind w:hanging="218" w:left="283"/>
              <w:jc w:val="both"/>
              <w:rPr/>
            </w:pPr>
            <w:r>
              <w:rPr>
                <w:rFonts w:eastAsia="Liberation Sans" w:asciiTheme="majorHAnsi" w:hAnsiTheme="majorHAnsi" w:cstheme="majorHAnsi"/>
                <w:color w:val="000000" w:themeColor="text1"/>
                <w:sz w:val="20"/>
                <w:szCs w:val="20"/>
              </w:rPr>
              <w:t xml:space="preserve">Appropriation des connaissances théoriques et méthodologiques indispensables pour l’analyse du fonctionnement institutionnel et des pratiques psychologiques mises en place dans ses différents contextes.</w:t>
            </w:r>
            <w:r/>
          </w:p>
          <w:p w14:paraId="77715B1A" w14:textId="77777777">
            <w:pPr>
              <w:pStyle w:val="1193"/>
              <w:numPr>
                <w:ilvl w:val="0"/>
                <w:numId w:val="35"/>
              </w:numPr>
              <w:pBdr>
                <w:top w:val="none" w:color="000000" w:sz="4" w:space="0"/>
                <w:left w:val="none" w:color="000000" w:sz="4" w:space="0"/>
                <w:bottom w:val="none" w:color="000000" w:sz="4" w:space="0"/>
                <w:right w:val="none" w:color="000000" w:sz="4" w:space="0"/>
                <w:between w:val="none" w:color="000000" w:sz="4" w:space="0"/>
              </w:pBdr>
              <w:spacing/>
              <w:ind w:hanging="218" w:left="283"/>
              <w:jc w:val="both"/>
              <w:rPr/>
            </w:pPr>
            <w:r>
              <w:rPr>
                <w:rFonts w:eastAsia="Liberation Sans" w:asciiTheme="majorHAnsi" w:hAnsiTheme="majorHAnsi" w:cstheme="majorHAnsi"/>
                <w:color w:val="000000" w:themeColor="text1"/>
                <w:sz w:val="20"/>
                <w:szCs w:val="20"/>
              </w:rPr>
              <w:t xml:space="preserve">Recherche active et analyse de la littérature scientifique sur les pratiques psychologiques</w:t>
            </w:r>
            <w:r/>
          </w:p>
          <w:p w14:paraId="52C0DC85" w14:textId="77777777">
            <w:pPr>
              <w:pStyle w:val="1193"/>
              <w:numPr>
                <w:ilvl w:val="0"/>
                <w:numId w:val="35"/>
              </w:numPr>
              <w:pBdr>
                <w:top w:val="none" w:color="000000" w:sz="4" w:space="0"/>
                <w:left w:val="none" w:color="000000" w:sz="4" w:space="0"/>
                <w:bottom w:val="none" w:color="000000" w:sz="4" w:space="0"/>
                <w:right w:val="none" w:color="000000" w:sz="4" w:space="0"/>
                <w:between w:val="none" w:color="000000" w:sz="4" w:space="0"/>
              </w:pBdr>
              <w:spacing/>
              <w:ind w:hanging="218" w:left="283"/>
              <w:jc w:val="both"/>
              <w:rPr>
                <w:rFonts w:eastAsia="Liberation Sans"/>
                <w:color w:val="000000" w:themeColor="text1"/>
              </w:rPr>
            </w:pPr>
            <w:r>
              <w:rPr>
                <w:rFonts w:eastAsia="Liberation Sans" w:asciiTheme="majorHAnsi" w:hAnsiTheme="majorHAnsi" w:cstheme="majorHAnsi"/>
                <w:color w:val="000000" w:themeColor="text1"/>
                <w:sz w:val="20"/>
                <w:szCs w:val="20"/>
              </w:rPr>
              <w:t xml:space="preserve">Rigueur d’élaboration écrite</w:t>
            </w:r>
            <w:r>
              <w:rPr>
                <w:rFonts w:eastAsia="Liberation Sans"/>
                <w:color w:val="000000" w:themeColor="text1"/>
              </w:rPr>
            </w:r>
            <w:r>
              <w:rPr>
                <w:rFonts w:eastAsia="Liberation Sans"/>
                <w:color w:val="000000" w:themeColor="text1"/>
              </w:rPr>
            </w:r>
          </w:p>
        </w:tc>
      </w:tr>
      <w:tr>
        <w:trPr/>
        <w:tc>
          <w:tcPr>
            <w:shd w:val="clear" w:color="auto" w:fill="e6e6e6"/>
            <w:tcBorders>
              <w:top w:val="single" w:color="000000" w:sz="4" w:space="0"/>
              <w:left w:val="single" w:color="000000" w:sz="4" w:space="0"/>
              <w:bottom w:val="single" w:color="000000" w:sz="4" w:space="0"/>
            </w:tcBorders>
            <w:tcW w:w="3402" w:type="dxa"/>
          </w:tcPr>
          <w:p w14:paraId="553EE04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82F3B7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27D0A2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bCs/>
                <w:color w:val="000000" w:themeColor="text1"/>
                <w:sz w:val="20"/>
                <w:szCs w:val="20"/>
              </w:rPr>
            </w:pPr>
            <w:r>
              <w:rPr>
                <w:rFonts w:eastAsia="Liberation Sans" w:asciiTheme="majorHAnsi" w:hAnsiTheme="majorHAnsi" w:cstheme="majorHAnsi"/>
                <w:b/>
                <w:color w:val="000000" w:themeColor="text1"/>
                <w:sz w:val="20"/>
                <w:szCs w:val="20"/>
              </w:rPr>
              <w:t xml:space="preserve">Responsables</w:t>
            </w:r>
            <w:r>
              <w:rPr>
                <w:rFonts w:eastAsia="Liberation Sans" w:asciiTheme="majorHAnsi" w:hAnsiTheme="majorHAnsi" w:cstheme="majorHAnsi"/>
                <w:b/>
                <w:bCs/>
                <w:color w:val="000000" w:themeColor="text1"/>
                <w:sz w:val="20"/>
                <w:szCs w:val="20"/>
              </w:rPr>
            </w:r>
            <w:r>
              <w:rPr>
                <w:rFonts w:eastAsia="Liberation Sans" w:asciiTheme="majorHAnsi" w:hAnsiTheme="majorHAnsi" w:cstheme="majorHAnsi"/>
                <w:b/>
                <w:bCs/>
                <w:color w:val="000000" w:themeColor="text1"/>
                <w:sz w:val="20"/>
                <w:szCs w:val="20"/>
              </w:rPr>
            </w:r>
          </w:p>
          <w:p w14:paraId="61FC5DB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Cs/>
                <w:i/>
                <w:color w:val="000000" w:themeColor="text1"/>
                <w:sz w:val="20"/>
                <w:szCs w:val="20"/>
              </w:rPr>
            </w:pPr>
            <w:r>
              <w:rPr>
                <w:rFonts w:eastAsia="Liberation Sans" w:asciiTheme="majorHAnsi" w:hAnsiTheme="majorHAnsi" w:cstheme="majorHAnsi"/>
                <w:b/>
                <w:color w:val="000000" w:themeColor="text1"/>
                <w:sz w:val="20"/>
                <w:szCs w:val="20"/>
              </w:rPr>
              <w:t xml:space="preserve">Contact</w:t>
            </w:r>
            <w:r>
              <w:rPr>
                <w:rFonts w:eastAsia="Liberation Sans" w:asciiTheme="majorHAnsi" w:hAnsiTheme="majorHAnsi" w:cstheme="majorHAnsi"/>
                <w:bCs/>
                <w:i/>
                <w:color w:val="000000" w:themeColor="text1"/>
                <w:sz w:val="20"/>
                <w:szCs w:val="20"/>
              </w:rPr>
            </w:r>
            <w:r>
              <w:rPr>
                <w:rFonts w:eastAsia="Liberation Sans" w:asciiTheme="majorHAnsi" w:hAnsiTheme="majorHAnsi" w:cstheme="majorHAnsi"/>
                <w:bCs/>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9A397D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Christine </w:t>
            </w:r>
            <w:r>
              <w:rPr>
                <w:rFonts w:eastAsia="Liberation Sans" w:asciiTheme="majorHAnsi" w:hAnsiTheme="majorHAnsi" w:cstheme="majorHAnsi"/>
                <w:color w:val="000000" w:themeColor="text1"/>
                <w:sz w:val="20"/>
                <w:szCs w:val="20"/>
              </w:rPr>
              <w:t xml:space="preserve">Bailleux</w:t>
            </w:r>
            <w:r>
              <w:rPr>
                <w:rFonts w:eastAsia="Liberation Sans" w:asciiTheme="majorHAnsi" w:hAnsiTheme="majorHAnsi" w:cstheme="majorHAnsi"/>
                <w:color w:val="000000" w:themeColor="text1"/>
                <w:sz w:val="20"/>
                <w:szCs w:val="20"/>
              </w:rPr>
              <w:t xml:space="preserve"> &amp; Patrick Perret</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0403BCB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hyperlink r:id="rId16" w:tooltip="mailto:Christine.Bailleux@univ-amu.fr" w:history="1">
              <w:r>
                <w:rPr>
                  <w:rStyle w:val="1196"/>
                  <w:rFonts w:eastAsia="Liberation Sans" w:asciiTheme="majorHAnsi" w:hAnsiTheme="majorHAnsi" w:cstheme="majorHAnsi"/>
                  <w:color w:val="000000" w:themeColor="text1"/>
                  <w:sz w:val="20"/>
                  <w:szCs w:val="20"/>
                </w:rPr>
                <w:t xml:space="preserve">Christine.Bailleux@univ-amu.fr</w:t>
              </w:r>
            </w:hyperlink>
            <w:r>
              <w:rPr>
                <w:rFonts w:eastAsia="Liberation Sans" w:asciiTheme="majorHAnsi" w:hAnsiTheme="majorHAnsi" w:cstheme="majorHAnsi"/>
                <w:color w:val="000000" w:themeColor="text1"/>
                <w:sz w:val="20"/>
                <w:szCs w:val="20"/>
              </w:rPr>
              <w:t xml:space="preserve"> (enseignant référent pour les conventions)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E77E4C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890F51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color w:val="000000"/>
              </w:rPr>
            </w:pPr>
            <w:r>
              <w:rPr>
                <w:rFonts w:eastAsia="Liberation Sans" w:asciiTheme="majorHAnsi" w:hAnsiTheme="majorHAnsi" w:cstheme="majorHAnsi"/>
                <w:color w:val="000000" w:themeColor="text1"/>
                <w:sz w:val="20"/>
                <w:szCs w:val="20"/>
              </w:rPr>
              <w:t xml:space="preserve">Enseignants chercheurs du département Dev/Diff</w:t>
            </w:r>
            <w:r>
              <w:rPr>
                <w:rFonts w:eastAsia="Liberation Sans"/>
                <w:color w:val="000000"/>
              </w:rPr>
            </w:r>
            <w:r>
              <w:rPr>
                <w:rFonts w:eastAsia="Liberation Sans"/>
                <w:color w:val="000000"/>
              </w:rPr>
            </w:r>
          </w:p>
        </w:tc>
      </w:tr>
      <w:tr>
        <w:trPr/>
        <w:tc>
          <w:tcPr>
            <w:shd w:val="clear" w:color="auto" w:fill="auto"/>
            <w:tcBorders>
              <w:left w:val="single" w:color="000000" w:sz="4" w:space="0"/>
              <w:bottom w:val="single" w:color="000000" w:sz="4" w:space="0"/>
            </w:tcBorders>
            <w:tcW w:w="3402" w:type="dxa"/>
          </w:tcPr>
          <w:p w14:paraId="7C9BF0E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w:t>
            </w:r>
            <w:r>
              <w:rPr>
                <w:rFonts w:eastAsia="Times New Roman"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t xml:space="preserve">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57558C9"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Suivis en petits groupes de régulation de stage, lectures conseillées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01DBD789"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Le choix du groupe de régulation de stage pourra s’effectuer en fonction de la nature du stage ou de la spécialité de master EAV ou TOIC visée et/ou du lieu de stage (cf. Semainier L3S6).</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69E8654E"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Groupes E&amp;A : Enfance et Adolescence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13834692"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rFonts w:eastAsia="Liberation Sans"/>
                <w:color w:val="000000"/>
              </w:rPr>
            </w:pPr>
            <w:r>
              <w:rPr>
                <w:rFonts w:eastAsia="Liberation Sans" w:asciiTheme="majorHAnsi" w:hAnsiTheme="majorHAnsi" w:cstheme="majorHAnsi"/>
                <w:color w:val="000000" w:themeColor="text1"/>
                <w:sz w:val="20"/>
                <w:szCs w:val="20"/>
              </w:rPr>
              <w:t xml:space="preserve">Groupes OIC&amp;V : Orientation, Insertion, Conseil et Vieillissement</w:t>
            </w:r>
            <w:r>
              <w:rPr>
                <w:rFonts w:eastAsia="Liberation Sans"/>
                <w:color w:val="000000"/>
              </w:rPr>
            </w:r>
            <w:r>
              <w:rPr>
                <w:rFonts w:eastAsia="Liberation Sans"/>
                <w:color w:val="000000"/>
              </w:rPr>
            </w:r>
          </w:p>
        </w:tc>
      </w:tr>
      <w:tr>
        <w:trPr/>
        <w:tc>
          <w:tcPr>
            <w:shd w:val="clear" w:color="auto" w:fill="auto"/>
            <w:tcBorders>
              <w:top w:val="single" w:color="000000" w:sz="4" w:space="0"/>
              <w:left w:val="single" w:color="000000" w:sz="4" w:space="0"/>
              <w:bottom w:val="single" w:color="000000" w:sz="4" w:space="0"/>
            </w:tcBorders>
            <w:tcW w:w="3402" w:type="dxa"/>
          </w:tcPr>
          <w:p w14:paraId="0F6293E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3D026B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Tr</w:t>
            </w:r>
            <w:r>
              <w:rPr>
                <w:rFonts w:asciiTheme="majorHAnsi" w:hAnsiTheme="majorHAnsi" w:cstheme="majorHAnsi"/>
                <w:color w:val="000000" w:themeColor="text1"/>
                <w:sz w:val="20"/>
                <w:szCs w:val="20"/>
              </w:rPr>
              <w:t xml:space="preserve">avaux dirigés, régulation de stage et Stage préférentiellement auprès d’un ou d’une psychologue y compris psychologue de l’EN travaillant dans une structure publique, associative ou privée auprès d’enfants, d’adolescents, jeunes adultes ou personnes âgées.</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627EC9B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0"/>
                <w:szCs w:val="20"/>
              </w:rPr>
            </w:pP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50DB37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0"/>
                <w:szCs w:val="20"/>
              </w:rPr>
            </w:pP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p>
        </w:tc>
      </w:tr>
      <w:tr>
        <w:trPr/>
        <w:tc>
          <w:tcPr>
            <w:shd w:val="clear" w:color="auto" w:fill="auto"/>
            <w:tcBorders>
              <w:left w:val="single" w:color="000000" w:sz="4" w:space="0"/>
              <w:bottom w:val="single" w:color="000000" w:sz="4" w:space="0"/>
            </w:tcBorders>
            <w:tcW w:w="3402" w:type="dxa"/>
          </w:tcPr>
          <w:p w14:paraId="5C612E4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7393E0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Français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CF62FD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B9759F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Psychologie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8DE0E2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9D0C84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24h TD</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EF0539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p w14:paraId="04C46F9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EFA17F2" w14:textId="77777777">
            <w:pPr>
              <w:pBdr>
                <w:top w:val="none" w:color="000000" w:sz="4" w:space="0"/>
                <w:left w:val="none" w:color="000000" w:sz="4" w:space="0"/>
                <w:bottom w:val="none" w:color="000000" w:sz="4" w:space="0"/>
                <w:right w:val="none" w:color="000000" w:sz="4" w:space="0"/>
                <w:between w:val="none" w:color="000000" w:sz="4" w:space="0"/>
              </w:pBdr>
              <w:spacing/>
              <w:ind w:firstLine="0"/>
              <w:rPr>
                <w:color w:val="000000" w:themeColor="text1"/>
                <w:sz w:val="20"/>
                <w:szCs w:val="20"/>
              </w:rPr>
            </w:pPr>
            <w:r>
              <w:rPr>
                <w:rFonts w:eastAsia="Arial"/>
                <w:color w:val="000000"/>
                <w:sz w:val="20"/>
              </w:rPr>
              <w:t xml:space="preserve">une</w:t>
            </w:r>
            <w:r>
              <w:rPr>
                <w:rFonts w:eastAsia="Arial"/>
                <w:color w:val="000000"/>
                <w:sz w:val="20"/>
              </w:rPr>
              <w:t xml:space="preserve"> liste de références bibliographiques sera fournie aux étudiants au fur et à mesure des enseignements</w:t>
            </w:r>
            <w:r>
              <w:rPr>
                <w:color w:val="000000" w:themeColor="text1"/>
                <w:sz w:val="20"/>
                <w:szCs w:val="20"/>
              </w:rPr>
            </w:r>
            <w:r>
              <w:rPr>
                <w:color w:val="000000" w:themeColor="text1"/>
                <w:sz w:val="20"/>
                <w:szCs w:val="20"/>
              </w:rPr>
            </w:r>
          </w:p>
        </w:tc>
      </w:tr>
      <w:tr>
        <w:trPr/>
        <w:tc>
          <w:tcPr>
            <w:shd w:val="clear" w:color="auto" w:fill="d9d9d9" w:themeFill="background1" w:themeFillShade="D9"/>
            <w:tcBorders>
              <w:left w:val="single" w:color="000000" w:sz="4" w:space="0"/>
              <w:bottom w:val="single" w:color="000000" w:sz="4" w:space="0"/>
            </w:tcBorders>
            <w:tcW w:w="3402" w:type="dxa"/>
          </w:tcPr>
          <w:p w14:paraId="4935615A"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d9d9d9" w:themeFill="background1" w:themeFillShade="D9"/>
            <w:tcBorders>
              <w:left w:val="single" w:color="000000" w:sz="4" w:space="0"/>
              <w:bottom w:val="single" w:color="000000" w:sz="4" w:space="0"/>
              <w:right w:val="single" w:color="000000" w:sz="4" w:space="0"/>
            </w:tcBorders>
            <w:tcW w:w="6236" w:type="dxa"/>
          </w:tcPr>
          <w:p w14:paraId="1FE4A8E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5D36B4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obligatoire</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AC76F11"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A47A32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recommandé</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94BACA5"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5A53F9F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2"/>
                <w:szCs w:val="20"/>
              </w:rPr>
            </w:pP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2A95A0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2"/>
                <w:szCs w:val="20"/>
              </w:rPr>
            </w:pP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p>
        </w:tc>
      </w:tr>
      <w:tr>
        <w:trPr/>
        <w:tc>
          <w:tcPr>
            <w:shd w:val="clear" w:color="auto" w:fill="auto"/>
            <w:tcBorders>
              <w:left w:val="single" w:color="000000" w:sz="4" w:space="0"/>
              <w:bottom w:val="single" w:color="000000" w:sz="4" w:space="0"/>
            </w:tcBorders>
            <w:tcW w:w="3402" w:type="dxa"/>
          </w:tcPr>
          <w:p w14:paraId="572B889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C233CB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t xml:space="preserve">Contrôle terminal : Dossier (Rapport de stage)</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r>
    </w:tbl>
    <w:p w14:paraId="3449C8E1" w14:textId="77777777">
      <w:pPr>
        <w:pBdr/>
        <w:spacing/>
        <w:ind/>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CA0026D" w14:textId="49EAE188">
      <w:pPr>
        <w:pStyle w:val="973"/>
        <w:keepNext w:val="true"/>
        <w:pBdr>
          <w:bottom w:val="none" w:color="000000" w:sz="0" w:space="0"/>
        </w:pBdr>
        <w:spacing w:after="0" w:before="0"/>
        <w:ind/>
        <w:rPr>
          <w:rFonts w:asciiTheme="majorHAnsi" w:hAnsiTheme="majorHAnsi" w:cstheme="majorHAnsi"/>
          <w:color w:val="000000"/>
          <w:sz w:val="20"/>
          <w:szCs w:val="20"/>
        </w:rPr>
      </w:pPr>
      <w:r>
        <w:rPr>
          <w:rFonts w:asciiTheme="majorHAnsi" w:hAnsiTheme="majorHAnsi" w:cstheme="majorHAnsi"/>
          <w:color w:val="000000"/>
          <w:sz w:val="20"/>
          <w:szCs w:val="20"/>
        </w:rPr>
      </w:r>
      <w:r>
        <w:rPr>
          <w:rFonts w:asciiTheme="majorHAnsi" w:hAnsiTheme="majorHAnsi" w:cstheme="majorHAnsi"/>
          <w:color w:val="000000"/>
          <w:sz w:val="20"/>
          <w:szCs w:val="20"/>
        </w:rPr>
      </w:r>
      <w:r>
        <w:rPr>
          <w:rFonts w:asciiTheme="majorHAnsi" w:hAnsiTheme="majorHAnsi" w:cstheme="majorHAnsi"/>
          <w:color w:val="000000"/>
          <w:sz w:val="20"/>
          <w:szCs w:val="20"/>
        </w:rPr>
      </w:r>
    </w:p>
    <w:p w14:paraId="52DAF792" w14:textId="35587BB9">
      <w:pPr>
        <w:pBdr/>
        <w:spacing/>
        <w:ind/>
        <w:rPr/>
      </w:pPr>
      <w:r/>
      <w:r/>
    </w:p>
    <w:p w14:paraId="1E8F4053" w14:textId="78A37B01">
      <w:pPr>
        <w:pBdr/>
        <w:spacing/>
        <w:ind/>
        <w:rPr/>
      </w:pPr>
      <w:r/>
      <w:r/>
    </w:p>
    <w:p w14:paraId="32B2C0D0" w14:textId="0E9BB153">
      <w:pPr>
        <w:pBdr/>
        <w:spacing/>
        <w:ind/>
        <w:rPr/>
      </w:pPr>
      <w:r/>
      <w:r/>
    </w:p>
    <w:p w14:paraId="05EE74C1" w14:textId="2801BB0D">
      <w:pPr>
        <w:pBdr/>
        <w:spacing/>
        <w:ind/>
        <w:rPr/>
      </w:pPr>
      <w:r/>
      <w:r/>
    </w:p>
    <w:p w14:paraId="65719845" w14:textId="51EB71E5">
      <w:pPr>
        <w:pBdr/>
        <w:spacing/>
        <w:ind/>
        <w:rPr/>
      </w:pPr>
      <w:r/>
      <w:r/>
    </w:p>
    <w:p w14:paraId="507D4E6F" w14:textId="7236D5E8">
      <w:pPr>
        <w:pBdr/>
        <w:spacing/>
        <w:ind/>
        <w:rPr/>
      </w:pPr>
      <w:r/>
      <w:r/>
    </w:p>
    <w:p w14:paraId="3CB92077" w14:textId="251F4063">
      <w:pPr>
        <w:pBdr/>
        <w:spacing/>
        <w:ind/>
        <w:rPr/>
      </w:pPr>
      <w:r/>
      <w:r/>
    </w:p>
    <w:p w14:paraId="3AF5D08F" w14:textId="034ED971">
      <w:pPr>
        <w:pBdr/>
        <w:spacing/>
        <w:ind/>
        <w:rPr/>
      </w:pPr>
      <w:r/>
      <w:r/>
    </w:p>
    <w:p w14:paraId="02F86F37" w14:textId="0FCF3613">
      <w:pPr>
        <w:pBdr/>
        <w:spacing/>
        <w:ind/>
        <w:rPr/>
      </w:pPr>
      <w:r/>
      <w:r/>
    </w:p>
    <w:p w14:paraId="1B5A3E02" w14:textId="70098D09">
      <w:pPr>
        <w:pBdr/>
        <w:spacing/>
        <w:ind/>
        <w:rPr/>
      </w:pPr>
      <w:r/>
      <w:r/>
    </w:p>
    <w:p w14:paraId="397496BE" w14:textId="48C7D642">
      <w:pPr>
        <w:pBdr/>
        <w:spacing/>
        <w:ind/>
        <w:rPr/>
      </w:pPr>
      <w:r/>
      <w:r/>
    </w:p>
    <w:p w14:paraId="357376A6" w14:textId="299B7B86">
      <w:pPr>
        <w:pBdr/>
        <w:spacing/>
        <w:ind/>
        <w:rPr/>
      </w:pPr>
      <w:r/>
      <w:r/>
    </w:p>
    <w:p w14:paraId="4CDE8684" w14:textId="0FDB50B2">
      <w:pPr>
        <w:pBdr/>
        <w:spacing/>
        <w:ind/>
        <w:rPr/>
      </w:pPr>
      <w:r/>
      <w:r/>
    </w:p>
    <w:p w14:paraId="6BB36EDD" w14:textId="5DB108F2">
      <w:pPr>
        <w:pBdr/>
        <w:spacing/>
        <w:ind/>
        <w:rPr/>
      </w:pPr>
      <w:r/>
      <w:r/>
    </w:p>
    <w:p w14:paraId="6BB12512" w14:textId="05E818BB">
      <w:pPr>
        <w:pBdr/>
        <w:spacing/>
        <w:ind/>
        <w:rPr/>
      </w:pPr>
      <w:r/>
      <w:r/>
    </w:p>
    <w:p w14:paraId="340974B5" w14:textId="69CF1520">
      <w:pPr>
        <w:pBdr/>
        <w:spacing/>
        <w:ind/>
        <w:rPr/>
      </w:pPr>
      <w:r/>
      <w:r/>
    </w:p>
    <w:p w14:paraId="486A5081" w14:textId="319F4393">
      <w:pPr>
        <w:pBdr/>
        <w:spacing/>
        <w:ind/>
        <w:rPr/>
      </w:pPr>
      <w:r/>
      <w:r/>
    </w:p>
    <w:p w14:paraId="45F028A8" w14:textId="29548F19">
      <w:pPr>
        <w:pBdr/>
        <w:spacing/>
        <w:ind/>
        <w:rPr/>
      </w:pPr>
      <w:r/>
      <w:r/>
    </w:p>
    <w:p w14:paraId="2C02724C" w14:textId="74E79AA2">
      <w:pPr>
        <w:pBdr/>
        <w:spacing/>
        <w:ind/>
        <w:rPr/>
      </w:pPr>
      <w:r/>
      <w:r/>
    </w:p>
    <w:p w14:paraId="74242E90" w14:textId="2B1B31F1">
      <w:pPr>
        <w:pBdr/>
        <w:spacing/>
        <w:ind/>
        <w:rPr/>
      </w:pPr>
      <w:r/>
      <w:r/>
    </w:p>
    <w:p w14:paraId="4D57A61E" w14:textId="368CB640">
      <w:pPr>
        <w:pBdr/>
        <w:spacing/>
        <w:ind/>
        <w:rPr/>
      </w:pPr>
      <w:r/>
      <w:r/>
    </w:p>
    <w:p w14:paraId="4F387790" w14:textId="444F9FA3">
      <w:pPr>
        <w:pBdr/>
        <w:spacing/>
        <w:ind/>
        <w:rPr/>
      </w:pPr>
      <w:r/>
      <w:r/>
    </w:p>
    <w:p w14:paraId="3DABFF44" w14:textId="0A6C9F62">
      <w:pPr>
        <w:pBdr/>
        <w:spacing/>
        <w:ind/>
        <w:rPr/>
      </w:pPr>
      <w:r/>
      <w:r/>
    </w:p>
    <w:p w14:paraId="042B379D" w14:textId="090140AE">
      <w:pPr>
        <w:pBdr/>
        <w:spacing/>
        <w:ind/>
        <w:rPr/>
      </w:pPr>
      <w:r/>
      <w:r/>
    </w:p>
    <w:p w14:paraId="101B00FF" w14:textId="7701E96F">
      <w:pPr>
        <w:pBdr/>
        <w:spacing/>
        <w:ind/>
        <w:rPr/>
      </w:pPr>
      <w:r/>
      <w:r/>
    </w:p>
    <w:p w14:paraId="1F654D60" w14:textId="0C560DB5">
      <w:pPr>
        <w:pBdr/>
        <w:spacing/>
        <w:ind/>
        <w:rPr/>
      </w:pPr>
      <w:r/>
      <w:r/>
    </w:p>
    <w:p w14:paraId="5C588436" w14:textId="4AD4F2F1">
      <w:pPr>
        <w:pBdr/>
        <w:spacing/>
        <w:ind/>
        <w:rPr/>
      </w:pPr>
      <w:r/>
      <w:r/>
    </w:p>
    <w:p w14:paraId="6678F3E5" w14:textId="49318B0E">
      <w:pPr>
        <w:pBdr/>
        <w:spacing/>
        <w:ind/>
        <w:rPr/>
      </w:pPr>
      <w:r/>
      <w:r/>
    </w:p>
    <w:p w14:paraId="0CB08363" w14:textId="6AAD24A2">
      <w:pPr>
        <w:pBdr/>
        <w:spacing/>
        <w:ind/>
        <w:rPr/>
      </w:pPr>
      <w:r/>
      <w:r/>
    </w:p>
    <w:p w14:paraId="0F63597C" w14:textId="716C9C79">
      <w:pPr>
        <w:pBdr/>
        <w:spacing/>
        <w:ind/>
        <w:rPr/>
      </w:pPr>
      <w:r/>
      <w:r/>
    </w:p>
    <w:p w14:paraId="6EBBB129" w14:textId="31885E9E">
      <w:pPr>
        <w:pBdr/>
        <w:spacing/>
        <w:ind/>
        <w:rPr/>
      </w:pPr>
      <w:r/>
      <w:r/>
    </w:p>
    <w:p w14:paraId="57A29C74" w14:textId="1458EBCE">
      <w:pPr>
        <w:pBdr/>
        <w:spacing/>
        <w:ind/>
        <w:rPr/>
      </w:pPr>
      <w:r/>
      <w:r/>
    </w:p>
    <w:p w14:paraId="325AF343" w14:textId="6633185F">
      <w:pPr>
        <w:pBdr/>
        <w:spacing/>
        <w:ind/>
        <w:rPr/>
      </w:pPr>
      <w:r/>
      <w:r/>
    </w:p>
    <w:p w14:paraId="513AD5D8" w14:textId="592A976F">
      <w:pPr>
        <w:pBdr/>
        <w:spacing/>
        <w:ind/>
        <w:rPr/>
      </w:pPr>
      <w:r/>
      <w:r/>
    </w:p>
    <w:p w14:paraId="5200609A" w14:textId="7386E7A2">
      <w:pPr>
        <w:pBdr/>
        <w:spacing/>
        <w:ind/>
        <w:rPr/>
      </w:pPr>
      <w:r/>
      <w:r/>
    </w:p>
    <w:p w14:paraId="19711D14" w14:textId="2375390C">
      <w:pPr>
        <w:pBdr/>
        <w:spacing/>
        <w:ind/>
        <w:rPr/>
      </w:pPr>
      <w:r/>
      <w:r/>
    </w:p>
    <w:p w14:paraId="631A3E59" w14:textId="00D6D6FE">
      <w:pPr>
        <w:pBdr/>
        <w:spacing/>
        <w:ind/>
        <w:rPr/>
      </w:pPr>
      <w:r/>
      <w:r/>
    </w:p>
    <w:p w14:paraId="4D028F03" w14:textId="76353D88">
      <w:pPr>
        <w:pBdr/>
        <w:spacing/>
        <w:ind/>
        <w:rPr/>
      </w:pPr>
      <w:r/>
      <w:r/>
    </w:p>
    <w:p w14:paraId="73866EBB" w14:textId="07530488">
      <w:pPr>
        <w:pBdr/>
        <w:spacing/>
        <w:ind/>
        <w:rPr/>
      </w:pPr>
      <w:r/>
      <w:r/>
    </w:p>
    <w:p w14:paraId="16E18DFB" w14:textId="66108EFA">
      <w:pPr>
        <w:pBdr/>
        <w:spacing/>
        <w:ind/>
        <w:rPr/>
      </w:pPr>
      <w:r/>
      <w:r/>
    </w:p>
    <w:p w14:paraId="244A00E3" w14:textId="4610C5CD">
      <w:pPr>
        <w:pBdr/>
        <w:spacing/>
        <w:ind/>
        <w:rPr/>
      </w:pPr>
      <w:r/>
      <w:r/>
    </w:p>
    <w:p w14:paraId="0C81324D" w14:textId="77777777">
      <w:pPr>
        <w:pBdr/>
        <w:spacing/>
        <w:ind/>
        <w:rPr/>
      </w:pPr>
      <w:r/>
      <w:r/>
    </w:p>
    <w:p w14:paraId="35899EB5" w14:textId="6AAE52D2">
      <w:pPr>
        <w:pStyle w:val="973"/>
        <w:keepNext w:val="true"/>
        <w:pBdr>
          <w:bottom w:val="none" w:color="000000" w:sz="0" w:space="0"/>
        </w:pBdr>
        <w:spacing w:after="0" w:before="0"/>
        <w:ind w:left="576"/>
        <w:rPr>
          <w:rFonts w:asciiTheme="majorHAnsi" w:hAnsiTheme="majorHAnsi" w:cstheme="majorHAnsi"/>
          <w:color w:val="000000"/>
          <w:sz w:val="20"/>
          <w:szCs w:val="20"/>
        </w:rPr>
      </w:pPr>
      <w:r>
        <w:rPr>
          <w:rFonts w:asciiTheme="majorHAnsi" w:hAnsiTheme="majorHAnsi" w:cstheme="majorHAnsi"/>
          <w:color w:val="000000"/>
          <w:sz w:val="20"/>
          <w:szCs w:val="20"/>
        </w:rPr>
      </w:r>
      <w:r>
        <w:rPr>
          <w:rFonts w:asciiTheme="majorHAnsi" w:hAnsiTheme="majorHAnsi" w:cstheme="majorHAnsi"/>
          <w:color w:val="000000"/>
          <w:sz w:val="20"/>
          <w:szCs w:val="20"/>
        </w:rPr>
      </w:r>
      <w:r>
        <w:rPr>
          <w:rFonts w:asciiTheme="majorHAnsi" w:hAnsiTheme="majorHAnsi" w:cstheme="majorHAnsi"/>
          <w:color w:val="000000"/>
          <w:sz w:val="20"/>
          <w:szCs w:val="20"/>
        </w:rPr>
      </w:r>
    </w:p>
    <w:tbl>
      <w:tblPr>
        <w:tblStyle w:val="1166"/>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7B9A5AB8"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B97444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6ECA5C5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64451C9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HPS6U33</w:t>
            </w:r>
            <w:r>
              <w:rPr>
                <w:rFonts w:eastAsia="Liberation Sans" w:asciiTheme="majorHAnsi" w:hAnsiTheme="majorHAnsi" w:cstheme="majorHAnsi"/>
                <w:b/>
                <w:color w:val="000000" w:themeColor="text1"/>
                <w:sz w:val="20"/>
                <w:szCs w:val="20"/>
                <w:highlight w:val="yellow"/>
              </w:rPr>
            </w:r>
            <w:r>
              <w:rPr>
                <w:rFonts w:eastAsia="Liberation Sans" w:asciiTheme="majorHAnsi" w:hAnsiTheme="majorHAnsi" w:cstheme="majorHAnsi"/>
                <w:b/>
                <w:color w:val="000000" w:themeColor="text1"/>
                <w:sz w:val="20"/>
                <w:szCs w:val="20"/>
                <w:highlight w:val="yellow"/>
              </w:rPr>
            </w:r>
          </w:p>
        </w:tc>
      </w:tr>
      <w:tr>
        <w:trPr/>
        <w:tc>
          <w:tcPr>
            <w:shd w:val="clear" w:color="auto" w:fill="auto"/>
            <w:tcBorders>
              <w:left w:val="single" w:color="000000" w:sz="4" w:space="0"/>
              <w:bottom w:val="single" w:color="000000" w:sz="4" w:space="0"/>
            </w:tcBorders>
            <w:tcW w:w="3402" w:type="dxa"/>
          </w:tcPr>
          <w:p w14:paraId="3F323B9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5261F2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Sociale PPO</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021EC41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154C180" w14:textId="77777777">
            <w:pPr>
              <w:pBdr>
                <w:top w:val="none" w:color="000000" w:sz="4" w:space="0"/>
                <w:left w:val="none" w:color="000000" w:sz="4" w:space="0"/>
                <w:bottom w:val="none" w:color="000000" w:sz="4" w:space="0"/>
                <w:right w:val="none" w:color="000000" w:sz="4" w:space="0"/>
                <w:between w:val="none" w:color="000000" w:sz="4" w:space="0"/>
              </w:pBdr>
              <w:spacing/>
              <w:ind w:firstLine="0"/>
              <w:rPr>
                <w:sz w:val="20"/>
                <w:szCs w:val="20"/>
              </w:rPr>
            </w:pPr>
            <w:r>
              <w:rPr>
                <w:sz w:val="20"/>
                <w:szCs w:val="20"/>
              </w:rPr>
              <w:t xml:space="preserve">Santé ; maladie ; souffrance psychologique et sociale ; exclusion ; précarité ; clinique psychosociale</w:t>
            </w:r>
            <w:r>
              <w:rPr>
                <w:sz w:val="20"/>
                <w:szCs w:val="20"/>
              </w:rPr>
            </w:r>
            <w:r>
              <w:rPr>
                <w:sz w:val="20"/>
                <w:szCs w:val="20"/>
              </w:rPr>
            </w:r>
          </w:p>
          <w:p w14:paraId="5B9038F9" w14:textId="77777777">
            <w:pPr>
              <w:pBdr>
                <w:top w:val="none" w:color="000000" w:sz="4" w:space="0"/>
                <w:left w:val="none" w:color="000000" w:sz="4" w:space="0"/>
                <w:bottom w:val="none" w:color="000000" w:sz="4" w:space="0"/>
                <w:right w:val="none" w:color="000000" w:sz="4" w:space="0"/>
                <w:between w:val="none" w:color="000000" w:sz="4" w:space="0"/>
              </w:pBdr>
              <w:spacing/>
              <w:ind w:firstLine="0"/>
              <w:rPr>
                <w:sz w:val="20"/>
                <w:szCs w:val="20"/>
              </w:rPr>
            </w:pPr>
            <w:r>
              <w:rPr>
                <w:sz w:val="20"/>
                <w:szCs w:val="20"/>
              </w:rPr>
            </w:r>
            <w:r>
              <w:rPr>
                <w:sz w:val="20"/>
                <w:szCs w:val="20"/>
              </w:rPr>
            </w:r>
            <w:r>
              <w:rPr>
                <w:sz w:val="20"/>
                <w:szCs w:val="20"/>
              </w:rPr>
            </w:r>
          </w:p>
          <w:p w14:paraId="46E6816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sz w:val="20"/>
                <w:szCs w:val="20"/>
              </w:rPr>
              <w:t xml:space="preserve">Recrutement-insertion ; formation ; management ; psychologie du travail et des organisations ; Ressources Humaines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669FFD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B8964A7" w14:textId="77777777">
            <w:pPr>
              <w:pBdr>
                <w:top w:val="none" w:color="000000" w:sz="4" w:space="0"/>
                <w:left w:val="none" w:color="000000" w:sz="4" w:space="0"/>
                <w:bottom w:val="none" w:color="000000" w:sz="4" w:space="0"/>
                <w:right w:val="none" w:color="000000" w:sz="4" w:space="0"/>
                <w:between w:val="none" w:color="000000" w:sz="4" w:space="0"/>
              </w:pBdr>
              <w:spacing/>
              <w:ind w:firstLine="0"/>
              <w:rPr>
                <w:sz w:val="20"/>
                <w:szCs w:val="20"/>
              </w:rPr>
            </w:pPr>
            <w:r>
              <w:rPr>
                <w:sz w:val="20"/>
                <w:szCs w:val="20"/>
              </w:rPr>
              <w:t xml:space="preserve">L’objectif est de permettre à l’</w:t>
            </w:r>
            <w:r>
              <w:rPr>
                <w:sz w:val="20"/>
                <w:szCs w:val="20"/>
              </w:rPr>
              <w:t xml:space="preserve">étudiant·e</w:t>
            </w:r>
            <w:r>
              <w:rPr>
                <w:sz w:val="20"/>
                <w:szCs w:val="20"/>
              </w:rPr>
              <w:t xml:space="preserve"> d’avoir une première expérience de stage et d'acquérir une connaissance plus concrète des métiers, des pratiques et des contextes professionnels de la psychologie sociale et de ses spécialisations.</w:t>
            </w:r>
            <w:r>
              <w:rPr>
                <w:sz w:val="20"/>
                <w:szCs w:val="20"/>
              </w:rPr>
            </w:r>
            <w:r>
              <w:rPr>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F4F427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EB67FD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3 ECTS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60BBDCDC"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214C75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EE873F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6B6625C" w14:textId="77777777">
            <w:pPr>
              <w:pBdr>
                <w:top w:val="none" w:color="000000" w:sz="4" w:space="0"/>
                <w:left w:val="none" w:color="000000" w:sz="4" w:space="0"/>
                <w:bottom w:val="none" w:color="000000" w:sz="4" w:space="0"/>
                <w:right w:val="none" w:color="000000" w:sz="4" w:space="0"/>
                <w:between w:val="none" w:color="000000" w:sz="4" w:space="0"/>
              </w:pBdr>
              <w:spacing/>
              <w:ind w:firstLine="0"/>
              <w:rPr>
                <w:sz w:val="20"/>
                <w:szCs w:val="20"/>
              </w:rPr>
            </w:pPr>
            <w:r>
              <w:rPr>
                <w:sz w:val="20"/>
                <w:szCs w:val="20"/>
              </w:rPr>
              <w:t xml:space="preserve">Analyse d’un contexte institutionnel spécifique, observation et analyse de pratiques professionnelles</w:t>
            </w:r>
            <w:r>
              <w:rPr>
                <w:sz w:val="20"/>
                <w:szCs w:val="20"/>
              </w:rPr>
            </w:r>
            <w:r>
              <w:rPr>
                <w:sz w:val="20"/>
                <w:szCs w:val="20"/>
              </w:rPr>
            </w:r>
          </w:p>
          <w:p w14:paraId="7DE85F20" w14:textId="77777777">
            <w:pPr>
              <w:pBdr>
                <w:top w:val="none" w:color="000000" w:sz="4" w:space="0"/>
                <w:left w:val="none" w:color="000000" w:sz="4" w:space="0"/>
                <w:bottom w:val="none" w:color="000000" w:sz="4" w:space="0"/>
                <w:right w:val="none" w:color="000000" w:sz="4" w:space="0"/>
                <w:between w:val="none" w:color="000000" w:sz="4" w:space="0"/>
              </w:pBdr>
              <w:spacing/>
              <w:ind w:firstLine="0"/>
              <w:rPr>
                <w:sz w:val="20"/>
                <w:szCs w:val="20"/>
              </w:rPr>
            </w:pPr>
            <w:r>
              <w:rPr>
                <w:sz w:val="20"/>
                <w:szCs w:val="20"/>
              </w:rPr>
              <w:t xml:space="preserve">Articulation théorie/pratique, réflexion sur la construction d’une identité professionnelle en lien avec la psychologie sociale et ses spécialisations.</w:t>
            </w:r>
            <w:r>
              <w:rPr>
                <w:sz w:val="20"/>
                <w:szCs w:val="20"/>
              </w:rPr>
            </w:r>
            <w:r>
              <w:rPr>
                <w:sz w:val="20"/>
                <w:szCs w:val="20"/>
              </w:rPr>
            </w:r>
          </w:p>
          <w:p w14:paraId="56964A8E"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color w:val="000000" w:themeColor="text1"/>
                <w:sz w:val="20"/>
                <w:szCs w:val="20"/>
              </w:rPr>
            </w:pPr>
            <w:r>
              <w:rPr>
                <w:color w:val="000000" w:themeColor="text1"/>
                <w:sz w:val="20"/>
                <w:szCs w:val="20"/>
              </w:rPr>
              <w:t xml:space="preserve">Développement d’une analyse réflexive sur son implication personnelle dans l’approche et la compréhension des situations de terrain.</w:t>
            </w:r>
            <w:r>
              <w:rPr>
                <w:color w:val="000000" w:themeColor="text1"/>
                <w:sz w:val="20"/>
                <w:szCs w:val="20"/>
              </w:rPr>
            </w:r>
            <w:r>
              <w:rPr>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308F214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DFD5DF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EFB685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DDEB80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sz w:val="20"/>
                <w:szCs w:val="20"/>
              </w:rPr>
              <w:t xml:space="preserve">Solveig </w:t>
            </w:r>
            <w:r>
              <w:rPr>
                <w:sz w:val="20"/>
                <w:szCs w:val="20"/>
              </w:rPr>
              <w:t xml:space="preserve">Lelaurain</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07FD10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Intervenant·es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28246F8" w14:textId="77777777">
            <w:pPr>
              <w:pBdr>
                <w:top w:val="none" w:color="000000" w:sz="4" w:space="0"/>
                <w:left w:val="none" w:color="000000" w:sz="4" w:space="0"/>
                <w:bottom w:val="none" w:color="000000" w:sz="4" w:space="0"/>
                <w:right w:val="none" w:color="000000" w:sz="4" w:space="0"/>
                <w:between w:val="none" w:color="000000" w:sz="4" w:space="0"/>
              </w:pBdr>
              <w:spacing/>
              <w:ind w:firstLine="0"/>
              <w:rPr>
                <w:sz w:val="20"/>
                <w:szCs w:val="20"/>
              </w:rPr>
            </w:pPr>
            <w:r>
              <w:rPr>
                <w:sz w:val="20"/>
                <w:szCs w:val="20"/>
              </w:rPr>
              <w:t xml:space="preserve">T. </w:t>
            </w:r>
            <w:r>
              <w:rPr>
                <w:sz w:val="20"/>
                <w:szCs w:val="20"/>
              </w:rPr>
              <w:t xml:space="preserve">Apostolidis</w:t>
            </w:r>
            <w:r>
              <w:rPr>
                <w:sz w:val="20"/>
                <w:szCs w:val="20"/>
              </w:rPr>
              <w:t xml:space="preserve">, C. </w:t>
            </w:r>
            <w:r>
              <w:rPr>
                <w:sz w:val="20"/>
                <w:szCs w:val="20"/>
              </w:rPr>
              <w:t xml:space="preserve">Demarque</w:t>
            </w:r>
            <w:r>
              <w:rPr>
                <w:sz w:val="20"/>
                <w:szCs w:val="20"/>
              </w:rPr>
              <w:t xml:space="preserve">, F. </w:t>
            </w:r>
            <w:r>
              <w:rPr>
                <w:sz w:val="20"/>
                <w:szCs w:val="20"/>
              </w:rPr>
              <w:t xml:space="preserve">Girandola</w:t>
            </w:r>
            <w:r>
              <w:rPr>
                <w:sz w:val="20"/>
                <w:szCs w:val="20"/>
              </w:rPr>
              <w:t xml:space="preserve">, E. Le </w:t>
            </w:r>
            <w:r>
              <w:rPr>
                <w:sz w:val="20"/>
                <w:szCs w:val="20"/>
              </w:rPr>
              <w:t xml:space="preserve">Barbenchon</w:t>
            </w:r>
            <w:r>
              <w:rPr>
                <w:sz w:val="20"/>
                <w:szCs w:val="20"/>
              </w:rPr>
              <w:t xml:space="preserve">, V. </w:t>
            </w:r>
            <w:r>
              <w:rPr>
                <w:sz w:val="20"/>
                <w:szCs w:val="20"/>
              </w:rPr>
              <w:t xml:space="preserve">Fointiait</w:t>
            </w:r>
            <w:r>
              <w:rPr>
                <w:sz w:val="20"/>
                <w:szCs w:val="20"/>
              </w:rPr>
              <w:t xml:space="preserve">, S. </w:t>
            </w:r>
            <w:r>
              <w:rPr>
                <w:sz w:val="20"/>
                <w:szCs w:val="20"/>
              </w:rPr>
              <w:t xml:space="preserve">Lelaurain</w:t>
            </w:r>
            <w:r>
              <w:rPr>
                <w:sz w:val="20"/>
                <w:szCs w:val="20"/>
              </w:rPr>
              <w:t xml:space="preserve">, S. N’Diaye, L. </w:t>
            </w:r>
            <w:r>
              <w:rPr>
                <w:sz w:val="20"/>
                <w:szCs w:val="20"/>
              </w:rPr>
              <w:t xml:space="preserve">Restivo</w:t>
            </w:r>
            <w:r>
              <w:rPr>
                <w:sz w:val="20"/>
                <w:szCs w:val="20"/>
              </w:rPr>
              <w:t xml:space="preserve">, M. </w:t>
            </w:r>
            <w:r>
              <w:rPr>
                <w:sz w:val="20"/>
                <w:szCs w:val="20"/>
              </w:rPr>
              <w:t xml:space="preserve">Souville</w:t>
            </w:r>
            <w:r>
              <w:rPr>
                <w:sz w:val="20"/>
                <w:szCs w:val="20"/>
              </w:rPr>
              <w:t xml:space="preserve">, B. </w:t>
            </w:r>
            <w:r>
              <w:rPr>
                <w:sz w:val="20"/>
                <w:szCs w:val="20"/>
              </w:rPr>
              <w:t xml:space="preserve">Zouhri</w:t>
            </w:r>
            <w:r>
              <w:rPr>
                <w:sz w:val="20"/>
                <w:szCs w:val="20"/>
              </w:rPr>
            </w:r>
            <w:r>
              <w:rPr>
                <w:sz w:val="20"/>
                <w:szCs w:val="20"/>
              </w:rPr>
            </w:r>
          </w:p>
        </w:tc>
      </w:tr>
      <w:tr>
        <w:trPr/>
        <w:tc>
          <w:tcPr>
            <w:shd w:val="clear" w:color="auto" w:fill="auto"/>
            <w:tcBorders>
              <w:left w:val="single" w:color="000000" w:sz="4" w:space="0"/>
              <w:bottom w:val="single" w:color="000000" w:sz="4" w:space="0"/>
            </w:tcBorders>
            <w:tcW w:w="3402" w:type="dxa"/>
          </w:tcPr>
          <w:p w14:paraId="6546B7B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w:t>
            </w:r>
            <w:r>
              <w:rPr>
                <w:rFonts w:eastAsia="Times New Roman"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t xml:space="preserve">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502D09A"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sz w:val="20"/>
                <w:szCs w:val="20"/>
              </w:rPr>
            </w:pPr>
            <w:r>
              <w:rPr>
                <w:sz w:val="20"/>
                <w:szCs w:val="20"/>
              </w:rPr>
              <w:t xml:space="preserve">Cette UE comporte un stage d’observation de 80 heures, ainsi que des enseignements théoriques et pratiques (régulation de stage) spécifiques à la thématique choisie par l’</w:t>
            </w:r>
            <w:r>
              <w:rPr>
                <w:sz w:val="20"/>
                <w:szCs w:val="20"/>
              </w:rPr>
              <w:t xml:space="preserve">étudiant·e</w:t>
            </w:r>
            <w:r>
              <w:rPr>
                <w:sz w:val="20"/>
                <w:szCs w:val="20"/>
              </w:rPr>
              <w:t xml:space="preserve"> (santé, travail, environnement).</w:t>
            </w:r>
            <w:r>
              <w:rPr>
                <w:sz w:val="20"/>
                <w:szCs w:val="20"/>
              </w:rPr>
            </w:r>
            <w:r>
              <w:rPr>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40241F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5A8FB91" w14:textId="77777777">
            <w:pPr>
              <w:pBdr>
                <w:top w:val="none" w:color="000000" w:sz="4" w:space="0"/>
                <w:left w:val="none" w:color="000000" w:sz="4" w:space="0"/>
                <w:bottom w:val="none" w:color="000000" w:sz="4" w:space="0"/>
                <w:right w:val="none" w:color="000000" w:sz="4" w:space="0"/>
                <w:between w:val="none" w:color="000000" w:sz="4" w:space="0"/>
              </w:pBdr>
              <w:spacing/>
              <w:ind w:firstLine="0"/>
              <w:rPr>
                <w:sz w:val="20"/>
                <w:szCs w:val="20"/>
              </w:rPr>
            </w:pPr>
            <w:r>
              <w:rPr>
                <w:sz w:val="20"/>
                <w:szCs w:val="20"/>
              </w:rPr>
              <w:t xml:space="preserve">Il s’agit d’un stage d’observation de 80 heures minimum à réaliser au semestre 6 (peut être encadré par un psychologue ou par tout autre professionnel de la structure d’accueil). Les enseignements permettent aux </w:t>
            </w:r>
            <w:r>
              <w:rPr>
                <w:sz w:val="20"/>
                <w:szCs w:val="20"/>
              </w:rPr>
              <w:t xml:space="preserve">étudiant·es</w:t>
            </w:r>
            <w:r>
              <w:rPr>
                <w:sz w:val="20"/>
                <w:szCs w:val="20"/>
              </w:rPr>
              <w:t xml:space="preserve"> d’acquérir des connaissances théoriques, méthodologiques et pratiques pertinent</w:t>
            </w:r>
            <w:r>
              <w:rPr>
                <w:sz w:val="20"/>
                <w:szCs w:val="20"/>
              </w:rPr>
              <w:t xml:space="preserve">es par rapport à leur lieu de stage. Des séances de suivi de stage sont également mises en place. Il s’agit d’analyser les processus psychosociaux qui peuvent être en jeu dans les cas et situations apportés par les étudiants issus de leur terrain de stage.</w:t>
            </w:r>
            <w:r>
              <w:rPr>
                <w:sz w:val="20"/>
                <w:szCs w:val="20"/>
              </w:rPr>
            </w:r>
            <w:r>
              <w:rPr>
                <w:sz w:val="20"/>
                <w:szCs w:val="20"/>
              </w:rPr>
            </w:r>
          </w:p>
          <w:p w14:paraId="7EC7BFEA" w14:textId="77777777">
            <w:pPr>
              <w:pBdr>
                <w:top w:val="none" w:color="000000" w:sz="4" w:space="0"/>
                <w:left w:val="none" w:color="000000" w:sz="4" w:space="0"/>
                <w:bottom w:val="none" w:color="000000" w:sz="4" w:space="0"/>
                <w:right w:val="none" w:color="000000" w:sz="4" w:space="0"/>
                <w:between w:val="none" w:color="000000" w:sz="4" w:space="0"/>
              </w:pBdr>
              <w:spacing/>
              <w:ind w:firstLine="0"/>
              <w:rPr>
                <w:sz w:val="20"/>
                <w:szCs w:val="20"/>
              </w:rPr>
            </w:pPr>
            <w:r>
              <w:rPr>
                <w:sz w:val="20"/>
                <w:szCs w:val="20"/>
              </w:rPr>
            </w:r>
            <w:r>
              <w:rPr>
                <w:sz w:val="20"/>
                <w:szCs w:val="20"/>
              </w:rPr>
            </w:r>
            <w:r>
              <w:rPr>
                <w:sz w:val="20"/>
                <w:szCs w:val="20"/>
              </w:rPr>
            </w:r>
          </w:p>
          <w:p w14:paraId="501A76D5" w14:textId="77777777">
            <w:pPr>
              <w:pBdr>
                <w:top w:val="none" w:color="000000" w:sz="4" w:space="0"/>
                <w:left w:val="none" w:color="000000" w:sz="4" w:space="0"/>
                <w:bottom w:val="none" w:color="000000" w:sz="4" w:space="0"/>
                <w:right w:val="none" w:color="000000" w:sz="4" w:space="0"/>
                <w:between w:val="none" w:color="000000" w:sz="4" w:space="0"/>
              </w:pBdr>
              <w:spacing/>
              <w:ind w:firstLine="0"/>
              <w:rPr>
                <w:sz w:val="20"/>
                <w:szCs w:val="20"/>
              </w:rPr>
            </w:pPr>
            <w:r>
              <w:rPr>
                <w:b/>
                <w:bCs/>
                <w:sz w:val="20"/>
                <w:szCs w:val="20"/>
              </w:rPr>
              <w:t xml:space="preserve">Lieux de stage potentiels </w:t>
            </w:r>
            <w:r>
              <w:rPr>
                <w:sz w:val="20"/>
                <w:szCs w:val="20"/>
              </w:rPr>
              <w:t xml:space="preserve">: </w:t>
            </w:r>
            <w:r>
              <w:rPr>
                <w:sz w:val="20"/>
                <w:szCs w:val="20"/>
              </w:rPr>
            </w:r>
            <w:r>
              <w:rPr>
                <w:sz w:val="20"/>
                <w:szCs w:val="20"/>
              </w:rPr>
            </w:r>
          </w:p>
          <w:p w14:paraId="224DA8EA" w14:textId="77777777">
            <w:pPr>
              <w:pBdr>
                <w:top w:val="none" w:color="000000" w:sz="4" w:space="0"/>
                <w:left w:val="none" w:color="000000" w:sz="4" w:space="0"/>
                <w:bottom w:val="none" w:color="000000" w:sz="4" w:space="0"/>
                <w:right w:val="none" w:color="000000" w:sz="4" w:space="0"/>
                <w:between w:val="none" w:color="000000" w:sz="4" w:space="0"/>
              </w:pBdr>
              <w:spacing/>
              <w:ind w:firstLine="0"/>
              <w:rPr>
                <w:sz w:val="20"/>
                <w:szCs w:val="20"/>
              </w:rPr>
            </w:pPr>
            <w:r>
              <w:rPr>
                <w:b/>
                <w:bCs/>
                <w:sz w:val="20"/>
                <w:szCs w:val="20"/>
              </w:rPr>
              <w:t xml:space="preserve">Travail</w:t>
            </w:r>
            <w:r>
              <w:rPr>
                <w:sz w:val="20"/>
                <w:szCs w:val="20"/>
              </w:rPr>
              <w:t xml:space="preserve"> : n'importe quel type d'organisations à condition qu'il y ait des salariés (privé / public ; collectivités publiques territoriales, grandes entreprises / PME, secteur associatif, établissements du secteur sanitaire et social, administrations, …) ;</w:t>
            </w:r>
            <w:r>
              <w:rPr>
                <w:sz w:val="20"/>
                <w:szCs w:val="20"/>
              </w:rPr>
            </w:r>
            <w:r>
              <w:rPr>
                <w:sz w:val="20"/>
                <w:szCs w:val="20"/>
              </w:rPr>
            </w:r>
          </w:p>
          <w:p w14:paraId="1855E331" w14:textId="77777777">
            <w:pPr>
              <w:pBdr>
                <w:top w:val="none" w:color="000000" w:sz="4" w:space="0"/>
                <w:left w:val="none" w:color="000000" w:sz="4" w:space="0"/>
                <w:bottom w:val="none" w:color="000000" w:sz="4" w:space="0"/>
                <w:right w:val="none" w:color="000000" w:sz="4" w:space="0"/>
                <w:between w:val="none" w:color="000000" w:sz="4" w:space="0"/>
              </w:pBdr>
              <w:spacing/>
              <w:ind w:firstLine="0"/>
              <w:rPr>
                <w:sz w:val="20"/>
                <w:szCs w:val="20"/>
              </w:rPr>
            </w:pPr>
            <w:r>
              <w:rPr>
                <w:sz w:val="20"/>
                <w:szCs w:val="20"/>
              </w:rPr>
            </w:r>
            <w:r>
              <w:rPr>
                <w:sz w:val="20"/>
                <w:szCs w:val="20"/>
              </w:rPr>
            </w:r>
            <w:r>
              <w:rPr>
                <w:sz w:val="20"/>
                <w:szCs w:val="20"/>
              </w:rPr>
            </w:r>
          </w:p>
          <w:p w14:paraId="31F97B8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color w:val="000000" w:themeColor="text1"/>
                <w:sz w:val="20"/>
                <w:szCs w:val="20"/>
              </w:rPr>
            </w:pPr>
            <w:r>
              <w:rPr>
                <w:b/>
                <w:bCs/>
                <w:sz w:val="20"/>
                <w:szCs w:val="20"/>
              </w:rPr>
              <w:t xml:space="preserve">Santé</w:t>
            </w:r>
            <w:r>
              <w:rPr>
                <w:sz w:val="20"/>
                <w:szCs w:val="20"/>
              </w:rPr>
              <w:t xml:space="preserve"> : les stages pourront se dérouler dans diff</w:t>
            </w:r>
            <w:r>
              <w:rPr>
                <w:sz w:val="20"/>
                <w:szCs w:val="20"/>
              </w:rPr>
              <w:t xml:space="preserve">érentes structures socio-sanitaires : centre hospitalier, lieux de soins somatiques et psychiques, maison de retraite/EHPAD, secteurs psychiatrique et addictologie, associations, tout lieu d’accueil relatif aux exclusions et aux précarités (CHRS, ADJ, …). </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922077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0"/>
                <w:szCs w:val="20"/>
              </w:rPr>
            </w:pP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9850CB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C542F2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4A1E34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Français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4EAB12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A9AA07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Psychologie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52B3D6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6E066B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24h TD</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F5DADE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p w14:paraId="17E64C8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912419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Une liste de références bibliographiques sera fournie aux étudiants au fur et à mesure des enseignements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d9d9d9" w:themeFill="background1" w:themeFillShade="D9"/>
            <w:tcBorders>
              <w:left w:val="single" w:color="000000" w:sz="4" w:space="0"/>
              <w:bottom w:val="single" w:color="000000" w:sz="4" w:space="0"/>
            </w:tcBorders>
            <w:tcW w:w="3402" w:type="dxa"/>
          </w:tcPr>
          <w:p w14:paraId="664208C2"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d9d9d9" w:themeFill="background1" w:themeFillShade="D9"/>
            <w:tcBorders>
              <w:left w:val="single" w:color="000000" w:sz="4" w:space="0"/>
              <w:bottom w:val="single" w:color="000000" w:sz="4" w:space="0"/>
              <w:right w:val="single" w:color="000000" w:sz="4" w:space="0"/>
            </w:tcBorders>
            <w:tcW w:w="6236" w:type="dxa"/>
          </w:tcPr>
          <w:p w14:paraId="0E56E2C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345E25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obligatoire</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B0A2051"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CD070E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recommandé</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38971F7"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32FCE25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2"/>
                <w:szCs w:val="20"/>
              </w:rPr>
            </w:pP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A843FF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2"/>
                <w:szCs w:val="20"/>
              </w:rPr>
            </w:pP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p>
        </w:tc>
      </w:tr>
      <w:tr>
        <w:trPr/>
        <w:tc>
          <w:tcPr>
            <w:shd w:val="clear" w:color="auto" w:fill="auto"/>
            <w:tcBorders>
              <w:left w:val="single" w:color="000000" w:sz="4" w:space="0"/>
              <w:bottom w:val="single" w:color="000000" w:sz="4" w:space="0"/>
            </w:tcBorders>
            <w:tcW w:w="3402" w:type="dxa"/>
          </w:tcPr>
          <w:p w14:paraId="7FE1044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66E72E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t xml:space="preserve">Contrôle terminal- rapport de stage</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r>
    </w:tbl>
    <w:p w14:paraId="2EE241D7" w14:textId="1BAF778A">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8B4DC92" w14:textId="15DFCAD2">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5749C60" w14:textId="259FF0A9">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03E03873" w14:textId="4BE237F8">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089F4AB" w14:textId="077C1A38">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F067E81" w14:textId="7730027C">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07DC5745" w14:textId="2B0CAE3C">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085082B" w14:textId="2A972154">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02E666D7" w14:textId="5C03F8FB">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F739BD7" w14:textId="312E4BBE">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81C7A2F" w14:textId="578845D3">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1EB86F2" w14:textId="63A4BCD7">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1ED7685" w14:textId="4DE8B42B">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7354A604" w14:textId="1171E3D6">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93E504C" w14:textId="469B5F5B">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1A6078A" w14:textId="697C1F08">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9BF774E" w14:textId="2150DFC7">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6A5931C" w14:textId="09096D65">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9B67576" w14:textId="77C50B6D">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D545373" w14:textId="0712508D">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4A8E8AB" w14:textId="3EF2D1D8">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046930A0" w14:textId="527B25D8">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967A064" w14:textId="7780FCC2">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A6D95EA" w14:textId="491CFA2A">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77B5F406" w14:textId="1A5F710F">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A810F0F" w14:textId="242B9EA6">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87204DF" w14:textId="0931AC31">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1A78AB9" w14:textId="2381BA85">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2DD3597" w14:textId="3B5DC151">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6CE03A4" w14:textId="786E5B6E">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CB67549" w14:textId="3EBE41C5">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3EDEAA6" w14:textId="794FB21A">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01707A72" w14:textId="53162993">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445D528" w14:textId="560F1BEC">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CAF1603" w14:textId="03EC2C70">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67172C5" w14:textId="194CBE3E">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02B1FB9" w14:textId="016CD5D3">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753BC6B" w14:textId="72703A9F">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685E4B0" w14:textId="69A328C0">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35F2E69" w14:textId="658431C2">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B75C17C" w14:textId="0F8C7C01">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B7DF08E" w14:textId="49824849">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61BE40D" w14:textId="17087DCC">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BCEC1FE" w14:textId="05F500AC">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801C20B" w14:textId="0F486C1B">
      <w:pPr>
        <w:pStyle w:val="972"/>
        <w:pBdr/>
        <w:spacing w:after="0" w:before="0"/>
        <w:ind/>
        <w:rPr>
          <w:rFonts w:asciiTheme="majorHAnsi" w:hAnsiTheme="majorHAnsi" w:cstheme="majorHAnsi"/>
          <w:color w:val="000000"/>
          <w:sz w:val="20"/>
          <w:szCs w:val="20"/>
        </w:rPr>
      </w:pPr>
      <w:r>
        <w:rPr>
          <w:rFonts w:asciiTheme="majorHAnsi" w:hAnsiTheme="majorHAnsi" w:cstheme="majorHAnsi"/>
          <w:color w:val="000000"/>
          <w:sz w:val="20"/>
          <w:szCs w:val="20"/>
        </w:rPr>
      </w:r>
      <w:r>
        <w:rPr>
          <w:rFonts w:asciiTheme="majorHAnsi" w:hAnsiTheme="majorHAnsi" w:cstheme="majorHAnsi"/>
          <w:color w:val="000000"/>
          <w:sz w:val="20"/>
          <w:szCs w:val="20"/>
        </w:rPr>
      </w:r>
      <w:r>
        <w:rPr>
          <w:rFonts w:asciiTheme="majorHAnsi" w:hAnsiTheme="majorHAnsi" w:cstheme="majorHAnsi"/>
          <w:color w:val="000000"/>
          <w:sz w:val="20"/>
          <w:szCs w:val="20"/>
        </w:rPr>
      </w:r>
    </w:p>
    <w:tbl>
      <w:tblPr>
        <w:tblStyle w:val="1166"/>
        <w:tblInd w:w="57" w:type="dxa"/>
        <w:tblW w:w="9638" w:type="dxa"/>
        <w:tblBorders/>
        <w:tblLayout w:type="fixed"/>
        <w:tblLook w:val="0000" w:firstRow="0" w:lastRow="0" w:firstColumn="0" w:lastColumn="0" w:noHBand="0" w:noVBand="0"/>
      </w:tblPr>
      <w:tblGrid>
        <w:gridCol w:w="3402"/>
        <w:gridCol w:w="6236"/>
      </w:tblGrid>
      <w:tr>
        <w:trPr/>
        <w:tc>
          <w:tcPr>
            <w:shd w:val="clear" w:color="ffffff" w:fill="e6e6e6"/>
            <w:tcBorders>
              <w:top w:val="single" w:color="000000" w:sz="4" w:space="0"/>
              <w:left w:val="single" w:color="000000" w:sz="4" w:space="0"/>
              <w:bottom w:val="single" w:color="000000" w:sz="4" w:space="0"/>
            </w:tcBorders>
            <w:tcW w:w="3402" w:type="dxa"/>
          </w:tcPr>
          <w:p w14:paraId="667DEE12"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ffffff" w:fill="e6e6e6"/>
            <w:tcBorders>
              <w:top w:val="single" w:color="000000" w:sz="4" w:space="0"/>
              <w:left w:val="single" w:color="000000" w:sz="4" w:space="0"/>
              <w:bottom w:val="single" w:color="000000" w:sz="4" w:space="0"/>
              <w:right w:val="single" w:color="000000" w:sz="4" w:space="0"/>
            </w:tcBorders>
            <w:tcW w:w="6236" w:type="dxa"/>
          </w:tcPr>
          <w:p w14:paraId="08230CB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ffffff" w:fill="ffffff"/>
            <w:tcBorders>
              <w:left w:val="single" w:color="000000" w:sz="4" w:space="0"/>
              <w:bottom w:val="single" w:color="000000" w:sz="4" w:space="0"/>
            </w:tcBorders>
            <w:tcW w:w="3402" w:type="dxa"/>
          </w:tcPr>
          <w:p w14:paraId="2F671CF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ffffff" w:fill="ffffff"/>
            <w:tcBorders>
              <w:left w:val="single" w:color="000000" w:sz="4" w:space="0"/>
              <w:bottom w:val="single" w:color="000000" w:sz="4" w:space="0"/>
              <w:right w:val="single" w:color="000000" w:sz="4" w:space="0"/>
            </w:tcBorders>
            <w:tcW w:w="6236" w:type="dxa"/>
          </w:tcPr>
          <w:p w14:paraId="21CE4B7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HPS6U34</w:t>
            </w:r>
            <w:r>
              <w:rPr>
                <w:rFonts w:eastAsia="Liberation Sans" w:asciiTheme="majorHAnsi" w:hAnsiTheme="majorHAnsi" w:cstheme="majorHAnsi"/>
                <w:b/>
                <w:color w:val="000000" w:themeColor="text1"/>
                <w:sz w:val="20"/>
                <w:szCs w:val="20"/>
                <w:highlight w:val="yellow"/>
              </w:rPr>
            </w:r>
            <w:r>
              <w:rPr>
                <w:rFonts w:eastAsia="Liberation Sans" w:asciiTheme="majorHAnsi" w:hAnsiTheme="majorHAnsi" w:cstheme="majorHAnsi"/>
                <w:b/>
                <w:color w:val="000000" w:themeColor="text1"/>
                <w:sz w:val="20"/>
                <w:szCs w:val="20"/>
                <w:highlight w:val="yellow"/>
              </w:rPr>
            </w:r>
          </w:p>
        </w:tc>
      </w:tr>
      <w:tr>
        <w:trPr>
          <w:trHeight w:val="539"/>
        </w:trPr>
        <w:tc>
          <w:tcPr>
            <w:shd w:val="clear" w:color="ffffff" w:fill="ffffff"/>
            <w:tcBorders>
              <w:left w:val="single" w:color="000000" w:sz="4" w:space="0"/>
              <w:bottom w:val="single" w:color="000000" w:sz="4" w:space="0"/>
            </w:tcBorders>
            <w:tcW w:w="3402" w:type="dxa"/>
          </w:tcPr>
          <w:p w14:paraId="619275E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4AC1A90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14:ligatures w14:val="none"/>
              </w:rPr>
            </w:pPr>
            <w:r>
              <w:rPr>
                <w:rFonts w:eastAsia="Liberation Sans" w:asciiTheme="majorHAnsi" w:hAnsiTheme="majorHAnsi" w:cstheme="majorHAnsi"/>
                <w:color w:val="000000" w:themeColor="text1"/>
                <w:sz w:val="20"/>
                <w:szCs w:val="20"/>
              </w:rPr>
              <w:t xml:space="preserve">Approche pluridisciplinaire du projet professionnel :</w:t>
            </w:r>
            <w:r>
              <w:rPr>
                <w:rFonts w:eastAsia="Liberation Sans" w:asciiTheme="majorHAnsi" w:hAnsiTheme="majorHAnsi" w:cstheme="majorHAnsi"/>
                <w:color w:val="000000" w:themeColor="text1"/>
                <w:sz w:val="20"/>
                <w:szCs w:val="20"/>
              </w:rPr>
              <w:t xml:space="preserve"> PPO «</w:t>
            </w:r>
            <w:r>
              <w:rPr>
                <w:rFonts w:eastAsia="Liberation Sans" w:asciiTheme="majorHAnsi" w:hAnsiTheme="majorHAnsi" w:cstheme="majorHAnsi"/>
                <w:color w:val="000000" w:themeColor="text1"/>
                <w:sz w:val="20"/>
                <w:szCs w:val="20"/>
              </w:rPr>
              <w:t xml:space="preserve">Découverte des métiers de la recherche en psychologie et des disciplines connexes</w:t>
            </w:r>
            <w:r>
              <w:rPr>
                <w:rFonts w:eastAsia="Liberation Sans" w:asciiTheme="majorHAnsi" w:hAnsiTheme="majorHAnsi" w:cstheme="majorHAnsi"/>
                <w:color w:val="000000" w:themeColor="text1"/>
                <w:sz w:val="20"/>
                <w:szCs w:val="20"/>
              </w:rPr>
              <w:t xml:space="preserve"> »</w:t>
            </w:r>
            <w:r>
              <w:rPr>
                <w:rFonts w:eastAsia="Liberation Sans" w:asciiTheme="majorHAnsi" w:hAnsiTheme="majorHAnsi" w:cstheme="majorHAnsi"/>
                <w:color w:val="000000" w:themeColor="text1"/>
                <w:sz w:val="20"/>
                <w:szCs w:val="20"/>
                <w14:ligatures w14:val="none"/>
              </w:rPr>
            </w:r>
            <w:r>
              <w:rPr>
                <w:rFonts w:eastAsia="Liberation Sans" w:asciiTheme="majorHAnsi" w:hAnsiTheme="majorHAnsi" w:cstheme="majorHAnsi"/>
                <w:color w:val="000000" w:themeColor="text1"/>
                <w:sz w:val="20"/>
                <w:szCs w:val="20"/>
                <w14:ligatures w14:val="none"/>
              </w:rPr>
            </w:r>
          </w:p>
        </w:tc>
      </w:tr>
      <w:tr>
        <w:trPr/>
        <w:tc>
          <w:tcPr>
            <w:shd w:val="clear" w:color="ffffff" w:fill="ffffff"/>
            <w:tcBorders>
              <w:top w:val="single" w:color="000000" w:sz="4" w:space="0"/>
              <w:left w:val="single" w:color="000000" w:sz="4" w:space="0"/>
              <w:bottom w:val="single" w:color="000000" w:sz="4" w:space="0"/>
            </w:tcBorders>
            <w:tcW w:w="3402" w:type="dxa"/>
          </w:tcPr>
          <w:p w14:paraId="4E5073D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6236" w:type="dxa"/>
          </w:tcPr>
          <w:p w14:paraId="7F784C1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ascii="Calibri Light" w:hAnsi="Calibri Light" w:eastAsia="Calibri Light" w:cs="Calibri Light"/>
                <w:color w:val="000000"/>
                <w:sz w:val="20"/>
              </w:rPr>
              <w:t xml:space="preserve">Métiers relatifs aux activités de recherche en psychologie, Instances de la recherche publique et privée et leurs acteurs, Montage de projets, Fonctionnement des structures de recherche, Stage professionnel</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ffffff" w:fill="ffffff"/>
            <w:tcBorders>
              <w:top w:val="single" w:color="000000" w:sz="4" w:space="0"/>
              <w:left w:val="single" w:color="000000" w:sz="4" w:space="0"/>
              <w:bottom w:val="single" w:color="000000" w:sz="4" w:space="0"/>
            </w:tcBorders>
            <w:tcW w:w="3402" w:type="dxa"/>
          </w:tcPr>
          <w:p w14:paraId="68C862C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6236" w:type="dxa"/>
          </w:tcPr>
          <w:p w14:paraId="6A83676E" w14:textId="77777777">
            <w:pPr>
              <w:pBdr>
                <w:top w:val="none" w:color="000000" w:sz="4" w:space="0"/>
                <w:left w:val="none" w:color="000000" w:sz="4" w:space="0"/>
                <w:bottom w:val="none" w:color="000000" w:sz="4" w:space="0"/>
                <w:right w:val="none" w:color="000000" w:sz="4" w:space="0"/>
              </w:pBdr>
              <w:spacing w:after="160"/>
              <w:ind w:firstLine="0"/>
              <w:rPr>
                <w:color w:val="000000"/>
                <w:sz w:val="20"/>
                <w:szCs w:val="20"/>
              </w:rPr>
            </w:pPr>
            <w:r>
              <w:rPr>
                <w:color w:val="000000"/>
                <w:sz w:val="20"/>
              </w:rPr>
              <w:t xml:space="preserve">- Présentation des métiers de la recherche et découverte de ces derniers via la réalisation d’un stage dans une structure de recherche (publique ou privée) – Repérer et valoriser des compétences professionnelles et ou une identité professionnelle</w:t>
            </w:r>
            <w:r>
              <w:rPr>
                <w:color w:val="000000"/>
                <w:sz w:val="20"/>
                <w:szCs w:val="20"/>
              </w:rPr>
            </w:r>
            <w:r>
              <w:rPr>
                <w:color w:val="000000"/>
                <w:sz w:val="20"/>
                <w:szCs w:val="20"/>
              </w:rPr>
            </w:r>
          </w:p>
          <w:p w14:paraId="4E23C4B2" w14:textId="77777777">
            <w:pPr>
              <w:pBdr>
                <w:top w:val="none" w:color="000000" w:sz="4" w:space="0"/>
                <w:left w:val="none" w:color="000000" w:sz="4" w:space="0"/>
                <w:bottom w:val="none" w:color="000000" w:sz="4" w:space="0"/>
                <w:right w:val="none" w:color="000000" w:sz="4" w:space="0"/>
              </w:pBdr>
              <w:spacing w:after="160"/>
              <w:ind w:firstLine="0"/>
              <w:rPr/>
            </w:pPr>
            <w:r>
              <w:rPr>
                <w:color w:val="000000"/>
                <w:sz w:val="20"/>
              </w:rPr>
              <w:t xml:space="preserve">- </w:t>
            </w:r>
            <w:r>
              <w:rPr>
                <w:rFonts w:ascii="Calibri Light" w:hAnsi="Calibri Light" w:eastAsia="Calibri Light" w:cs="Calibri Light"/>
                <w:color w:val="000000"/>
                <w:sz w:val="20"/>
              </w:rPr>
              <w:t xml:space="preserve">Poursuite de l’acc</w:t>
            </w:r>
            <w:r>
              <w:rPr>
                <w:rFonts w:ascii="Calibri Light" w:hAnsi="Calibri Light" w:eastAsia="Calibri Light" w:cs="Calibri Light"/>
                <w:color w:val="000000"/>
                <w:sz w:val="20"/>
              </w:rPr>
              <w:t xml:space="preserve">ompagnement à la réalisation d’un projet tutoré initié en HPS5U34 (portant sur différents thèmes : culture et diffusion scientifique, la recherche et les enjeux environnementaux, gestion des données de la recherche-sciences ouvertes/intégrité scientifique)</w:t>
            </w:r>
            <w:r/>
          </w:p>
        </w:tc>
      </w:tr>
      <w:tr>
        <w:trPr/>
        <w:tc>
          <w:tcPr>
            <w:shd w:val="clear" w:color="ffffff" w:fill="ffffff"/>
            <w:tcBorders>
              <w:top w:val="single" w:color="000000" w:sz="4" w:space="0"/>
              <w:left w:val="single" w:color="000000" w:sz="4" w:space="0"/>
              <w:bottom w:val="single" w:color="000000" w:sz="4" w:space="0"/>
            </w:tcBorders>
            <w:tcW w:w="3402" w:type="dxa"/>
          </w:tcPr>
          <w:p w14:paraId="557EC92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6236" w:type="dxa"/>
          </w:tcPr>
          <w:p w14:paraId="7BF7722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3 ECTS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ffffff" w:fill="e6e6e6"/>
            <w:tcBorders>
              <w:top w:val="single" w:color="000000" w:sz="4" w:space="0"/>
              <w:left w:val="single" w:color="000000" w:sz="4" w:space="0"/>
              <w:bottom w:val="single" w:color="000000" w:sz="4" w:space="0"/>
            </w:tcBorders>
            <w:tcW w:w="3402" w:type="dxa"/>
          </w:tcPr>
          <w:p w14:paraId="43279600"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ffffff" w:fill="e6e6e6"/>
            <w:tcBorders>
              <w:top w:val="single" w:color="000000" w:sz="4" w:space="0"/>
              <w:left w:val="single" w:color="000000" w:sz="4" w:space="0"/>
              <w:bottom w:val="single" w:color="000000" w:sz="4" w:space="0"/>
              <w:right w:val="single" w:color="000000" w:sz="4" w:space="0"/>
            </w:tcBorders>
            <w:tcW w:w="6236" w:type="dxa"/>
          </w:tcPr>
          <w:p w14:paraId="60B2542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ffffff" w:fill="ffffff"/>
            <w:tcBorders>
              <w:left w:val="single" w:color="000000" w:sz="4" w:space="0"/>
              <w:bottom w:val="single" w:color="000000" w:sz="4" w:space="0"/>
            </w:tcBorders>
            <w:tcW w:w="3402" w:type="dxa"/>
          </w:tcPr>
          <w:p w14:paraId="0DA3FB0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66E290DD" w14:textId="77777777">
            <w:pPr>
              <w:numPr>
                <w:ilvl w:val="0"/>
                <w:numId w:val="36"/>
              </w:numPr>
              <w:pBdr>
                <w:top w:val="none" w:color="000000" w:sz="4" w:space="0"/>
                <w:left w:val="none" w:color="000000" w:sz="4" w:space="0"/>
                <w:bottom w:val="none" w:color="000000" w:sz="4" w:space="0"/>
                <w:right w:val="none" w:color="000000" w:sz="4" w:space="0"/>
              </w:pBdr>
              <w:spacing/>
              <w:ind/>
              <w:rPr/>
            </w:pPr>
            <w:r>
              <w:rPr>
                <w:color w:val="000000"/>
                <w:sz w:val="20"/>
              </w:rPr>
              <w:t xml:space="preserve">Identifier et situer les apports des différents métiers pour l’exercice de la recherche en psychologie</w:t>
            </w:r>
            <w:r/>
          </w:p>
          <w:p w14:paraId="1CDC4D26" w14:textId="77777777">
            <w:pPr>
              <w:numPr>
                <w:ilvl w:val="0"/>
                <w:numId w:val="36"/>
              </w:numPr>
              <w:pBdr>
                <w:top w:val="none" w:color="000000" w:sz="4" w:space="0"/>
                <w:left w:val="none" w:color="000000" w:sz="4" w:space="0"/>
                <w:bottom w:val="none" w:color="000000" w:sz="4" w:space="0"/>
                <w:right w:val="none" w:color="000000" w:sz="4" w:space="0"/>
              </w:pBdr>
              <w:spacing/>
              <w:ind/>
              <w:rPr/>
            </w:pPr>
            <w:r>
              <w:rPr>
                <w:color w:val="000000"/>
                <w:sz w:val="20"/>
              </w:rPr>
              <w:t xml:space="preserve">Identifier la diversité des instances et acteurs de la recherche</w:t>
            </w:r>
            <w:r/>
          </w:p>
          <w:p w14:paraId="4A885CA2" w14:textId="77777777">
            <w:pPr>
              <w:numPr>
                <w:ilvl w:val="0"/>
                <w:numId w:val="36"/>
              </w:numPr>
              <w:pBdr>
                <w:top w:val="none" w:color="000000" w:sz="4" w:space="0"/>
                <w:left w:val="none" w:color="000000" w:sz="4" w:space="0"/>
                <w:bottom w:val="none" w:color="000000" w:sz="4" w:space="0"/>
                <w:right w:val="none" w:color="000000" w:sz="4" w:space="0"/>
              </w:pBdr>
              <w:spacing/>
              <w:ind/>
              <w:rPr/>
            </w:pPr>
            <w:r>
              <w:rPr>
                <w:color w:val="000000"/>
                <w:sz w:val="20"/>
              </w:rPr>
              <w:t xml:space="preserve">Mener un projet en lien avec les enjeux de la recherche en psychologie : identification des besoins, définition d’objectifs, mise en </w:t>
            </w:r>
            <w:r>
              <w:rPr>
                <w:color w:val="000000"/>
                <w:sz w:val="20"/>
              </w:rPr>
              <w:t xml:space="preserve">oeuvre</w:t>
            </w:r>
            <w:r>
              <w:rPr>
                <w:color w:val="000000"/>
                <w:sz w:val="20"/>
              </w:rPr>
              <w:t xml:space="preserve"> d’actions, sollicitation de personnes ressources, gestion des délais</w:t>
            </w:r>
            <w:r/>
          </w:p>
          <w:p w14:paraId="6C5684AC" w14:textId="77777777">
            <w:pPr>
              <w:numPr>
                <w:ilvl w:val="0"/>
                <w:numId w:val="36"/>
              </w:numPr>
              <w:pBdr>
                <w:top w:val="none" w:color="000000" w:sz="4" w:space="0"/>
                <w:left w:val="none" w:color="000000" w:sz="4" w:space="0"/>
                <w:bottom w:val="none" w:color="000000" w:sz="4" w:space="0"/>
                <w:right w:val="none" w:color="000000" w:sz="4" w:space="0"/>
              </w:pBdr>
              <w:spacing/>
              <w:ind/>
              <w:rPr/>
            </w:pPr>
            <w:r>
              <w:rPr>
                <w:color w:val="000000"/>
                <w:sz w:val="20"/>
              </w:rPr>
              <w:t xml:space="preserve">Travailler en équipe et en réseau ainsi qu’en autonomie et responsabilité au service d’un projet</w:t>
            </w:r>
            <w:r/>
          </w:p>
          <w:p w14:paraId="4E2CA1CF" w14:textId="77777777">
            <w:pPr>
              <w:numPr>
                <w:ilvl w:val="0"/>
                <w:numId w:val="36"/>
              </w:numPr>
              <w:pBdr>
                <w:top w:val="none" w:color="000000" w:sz="4" w:space="0"/>
                <w:left w:val="none" w:color="000000" w:sz="4" w:space="0"/>
                <w:bottom w:val="none" w:color="000000" w:sz="4" w:space="0"/>
                <w:right w:val="none" w:color="000000" w:sz="4" w:space="0"/>
              </w:pBdr>
              <w:spacing/>
              <w:ind/>
              <w:rPr/>
            </w:pPr>
            <w:r>
              <w:rPr>
                <w:color w:val="000000"/>
                <w:sz w:val="20"/>
              </w:rPr>
              <w:t xml:space="preserve">Interagir avec les publics et les professionnels dans le respect du code de déontologie des psychologues, de l’éthique de la recherche et de </w:t>
            </w:r>
            <w:r>
              <w:rPr>
                <w:color w:val="000000"/>
                <w:sz w:val="20"/>
              </w:rPr>
              <w:t xml:space="preserve">la  législation</w:t>
            </w:r>
            <w:r>
              <w:rPr>
                <w:color w:val="000000"/>
                <w:sz w:val="20"/>
              </w:rPr>
              <w:t xml:space="preserve"> concernant spécifiquement les psychologues</w:t>
            </w:r>
            <w:r/>
          </w:p>
          <w:p w14:paraId="21486E9F" w14:textId="77777777">
            <w:pPr>
              <w:numPr>
                <w:ilvl w:val="0"/>
                <w:numId w:val="36"/>
              </w:numPr>
              <w:pBdr>
                <w:top w:val="none" w:color="000000" w:sz="4" w:space="0"/>
                <w:left w:val="none" w:color="000000" w:sz="4" w:space="0"/>
                <w:bottom w:val="none" w:color="000000" w:sz="4" w:space="0"/>
                <w:right w:val="none" w:color="000000" w:sz="4" w:space="0"/>
              </w:pBdr>
              <w:spacing/>
              <w:ind/>
              <w:rPr/>
            </w:pPr>
            <w:r>
              <w:rPr>
                <w:color w:val="000000"/>
                <w:sz w:val="20"/>
              </w:rPr>
              <w:t xml:space="preserve">Se servir aisément des différents registres d’expression écrite et orale de la langue française</w:t>
            </w:r>
            <w:r/>
          </w:p>
          <w:p w14:paraId="72C89D3B" w14:textId="77777777">
            <w:pPr>
              <w:numPr>
                <w:ilvl w:val="0"/>
                <w:numId w:val="36"/>
              </w:numPr>
              <w:pBdr>
                <w:top w:val="none" w:color="000000" w:sz="4" w:space="0"/>
                <w:left w:val="none" w:color="000000" w:sz="4" w:space="0"/>
                <w:bottom w:val="none" w:color="000000" w:sz="4" w:space="0"/>
                <w:right w:val="none" w:color="000000" w:sz="4" w:space="0"/>
              </w:pBdr>
              <w:spacing/>
              <w:ind/>
              <w:rPr>
                <w:color w:val="000000"/>
                <w:sz w:val="20"/>
                <w:szCs w:val="20"/>
              </w:rPr>
            </w:pPr>
            <w:r>
              <w:rPr>
                <w:color w:val="000000"/>
                <w:sz w:val="20"/>
              </w:rPr>
              <w:t xml:space="preserve">Communiquer par oral et par écrit, de façon claire et non-</w:t>
            </w:r>
            <w:r>
              <w:rPr>
                <w:color w:val="000000"/>
                <w:sz w:val="20"/>
                <w:szCs w:val="20"/>
              </w:rPr>
              <w:t xml:space="preserve">ambiguë, dans au moins une langue étrangère</w:t>
            </w:r>
            <w:r>
              <w:rPr>
                <w:color w:val="000000"/>
                <w:sz w:val="20"/>
                <w:szCs w:val="20"/>
              </w:rPr>
            </w:r>
            <w:r>
              <w:rPr>
                <w:color w:val="000000"/>
                <w:sz w:val="20"/>
                <w:szCs w:val="20"/>
              </w:rPr>
            </w:r>
          </w:p>
          <w:p w14:paraId="1544C79D" w14:textId="77777777">
            <w:pPr>
              <w:numPr>
                <w:ilvl w:val="0"/>
                <w:numId w:val="36"/>
              </w:numPr>
              <w:pBdr>
                <w:top w:val="none" w:color="000000" w:sz="4" w:space="0"/>
                <w:left w:val="none" w:color="000000" w:sz="4" w:space="0"/>
                <w:bottom w:val="none" w:color="000000" w:sz="4" w:space="0"/>
                <w:right w:val="none" w:color="000000" w:sz="4" w:space="0"/>
              </w:pBdr>
              <w:spacing/>
              <w:ind/>
              <w:rPr>
                <w:color w:val="000000"/>
                <w:sz w:val="20"/>
                <w:szCs w:val="20"/>
              </w:rPr>
            </w:pPr>
            <w:r>
              <w:rPr>
                <w:color w:val="000000"/>
                <w:sz w:val="20"/>
                <w:szCs w:val="20"/>
              </w:rPr>
              <w:t xml:space="preserve">Situer son rôle et sa mission au sein d'une organisation pour s’adapter et prendre des initiatives</w:t>
            </w:r>
            <w:r>
              <w:rPr>
                <w:color w:val="000000"/>
                <w:sz w:val="20"/>
                <w:szCs w:val="20"/>
              </w:rPr>
            </w:r>
            <w:r>
              <w:rPr>
                <w:color w:val="000000"/>
                <w:sz w:val="20"/>
                <w:szCs w:val="20"/>
              </w:rPr>
            </w:r>
          </w:p>
          <w:p w14:paraId="0AAA8A29" w14:textId="77777777">
            <w:pPr>
              <w:numPr>
                <w:ilvl w:val="0"/>
                <w:numId w:val="36"/>
              </w:numPr>
              <w:pBdr>
                <w:top w:val="none" w:color="000000" w:sz="4" w:space="0"/>
                <w:left w:val="none" w:color="000000" w:sz="4" w:space="0"/>
                <w:bottom w:val="none" w:color="000000" w:sz="4" w:space="0"/>
                <w:right w:val="none" w:color="000000" w:sz="4" w:space="0"/>
              </w:pBdr>
              <w:spacing/>
              <w:ind/>
              <w:rPr>
                <w:color w:val="000000"/>
                <w:sz w:val="20"/>
                <w:szCs w:val="20"/>
              </w:rPr>
            </w:pPr>
            <w:r>
              <w:rPr>
                <w:color w:val="000000"/>
                <w:sz w:val="20"/>
                <w:szCs w:val="20"/>
              </w:rPr>
              <w:t xml:space="preserve">Restituer de façon intelligible ses observations, ses questions, et rendre compte de sa découverte d’une pratique professionnelle</w:t>
            </w:r>
            <w:r>
              <w:rPr>
                <w:color w:val="000000"/>
                <w:sz w:val="20"/>
                <w:szCs w:val="20"/>
              </w:rPr>
            </w:r>
            <w:r>
              <w:rPr>
                <w:color w:val="000000"/>
                <w:sz w:val="20"/>
                <w:szCs w:val="20"/>
              </w:rPr>
            </w:r>
          </w:p>
          <w:p w14:paraId="4B82FC3E" w14:textId="77777777">
            <w:pPr>
              <w:numPr>
                <w:ilvl w:val="0"/>
                <w:numId w:val="36"/>
              </w:numPr>
              <w:pBdr>
                <w:top w:val="none" w:color="000000" w:sz="4" w:space="0"/>
                <w:left w:val="none" w:color="000000" w:sz="4" w:space="0"/>
                <w:bottom w:val="none" w:color="000000" w:sz="4" w:space="0"/>
                <w:right w:val="none" w:color="000000" w:sz="4" w:space="0"/>
              </w:pBdr>
              <w:spacing/>
              <w:ind/>
              <w:rPr>
                <w:color w:val="000000"/>
                <w:sz w:val="20"/>
                <w:szCs w:val="20"/>
              </w:rPr>
            </w:pPr>
            <w:r>
              <w:rPr>
                <w:color w:val="000000"/>
                <w:sz w:val="20"/>
                <w:szCs w:val="20"/>
              </w:rPr>
              <w:t xml:space="preserve">Valorisation des savoirs acquis</w:t>
            </w:r>
            <w:r>
              <w:rPr>
                <w:color w:val="000000"/>
                <w:sz w:val="20"/>
                <w:szCs w:val="20"/>
              </w:rPr>
            </w:r>
            <w:r>
              <w:rPr>
                <w:color w:val="000000"/>
                <w:sz w:val="20"/>
                <w:szCs w:val="20"/>
              </w:rPr>
            </w:r>
          </w:p>
        </w:tc>
      </w:tr>
      <w:tr>
        <w:trPr/>
        <w:tc>
          <w:tcPr>
            <w:shd w:val="clear" w:color="ffffff" w:fill="e6e6e6"/>
            <w:tcBorders>
              <w:top w:val="single" w:color="000000" w:sz="4" w:space="0"/>
              <w:left w:val="single" w:color="000000" w:sz="4" w:space="0"/>
              <w:bottom w:val="single" w:color="000000" w:sz="4" w:space="0"/>
            </w:tcBorders>
            <w:tcW w:w="3402" w:type="dxa"/>
          </w:tcPr>
          <w:p w14:paraId="3F449BB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ffffff" w:fill="e6e6e6"/>
            <w:tcBorders>
              <w:top w:val="single" w:color="000000" w:sz="4" w:space="0"/>
              <w:left w:val="single" w:color="000000" w:sz="4" w:space="0"/>
              <w:bottom w:val="single" w:color="000000" w:sz="4" w:space="0"/>
              <w:right w:val="single" w:color="000000" w:sz="4" w:space="0"/>
            </w:tcBorders>
            <w:tcW w:w="6236" w:type="dxa"/>
          </w:tcPr>
          <w:p w14:paraId="46172CA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ffffff" w:fill="ffffff"/>
            <w:tcBorders>
              <w:left w:val="single" w:color="000000" w:sz="4" w:space="0"/>
              <w:bottom w:val="single" w:color="000000" w:sz="4" w:space="0"/>
            </w:tcBorders>
            <w:tcW w:w="3402" w:type="dxa"/>
          </w:tcPr>
          <w:p w14:paraId="2F96DF6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4A050FC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Raphaël </w:t>
            </w:r>
            <w:r>
              <w:rPr>
                <w:rFonts w:eastAsia="Liberation Sans" w:asciiTheme="majorHAnsi" w:hAnsiTheme="majorHAnsi" w:cstheme="majorHAnsi"/>
                <w:color w:val="000000" w:themeColor="text1"/>
                <w:sz w:val="20"/>
                <w:szCs w:val="20"/>
              </w:rPr>
              <w:t xml:space="preserve">Mizzi</w:t>
            </w:r>
            <w:r>
              <w:rPr>
                <w:rFonts w:eastAsia="Liberation Sans" w:asciiTheme="majorHAnsi" w:hAnsiTheme="majorHAnsi" w:cstheme="majorHAnsi"/>
                <w:color w:val="000000" w:themeColor="text1"/>
                <w:sz w:val="20"/>
                <w:szCs w:val="20"/>
              </w:rPr>
              <w:t xml:space="preserve">, Anaïs </w:t>
            </w:r>
            <w:r>
              <w:rPr>
                <w:rFonts w:eastAsia="Liberation Sans" w:asciiTheme="majorHAnsi" w:hAnsiTheme="majorHAnsi" w:cstheme="majorHAnsi"/>
                <w:color w:val="000000" w:themeColor="text1"/>
                <w:sz w:val="20"/>
                <w:szCs w:val="20"/>
              </w:rPr>
              <w:t xml:space="preserve">Osmont</w:t>
            </w:r>
            <w:r>
              <w:rPr>
                <w:rFonts w:eastAsia="Liberation Sans" w:asciiTheme="majorHAnsi" w:hAnsiTheme="majorHAnsi" w:cstheme="majorHAnsi"/>
                <w:color w:val="000000" w:themeColor="text1"/>
                <w:sz w:val="20"/>
                <w:szCs w:val="20"/>
              </w:rPr>
              <w:t xml:space="preserve">, Hélène </w:t>
            </w:r>
            <w:r>
              <w:rPr>
                <w:rFonts w:eastAsia="Liberation Sans" w:asciiTheme="majorHAnsi" w:hAnsiTheme="majorHAnsi" w:cstheme="majorHAnsi"/>
                <w:color w:val="000000" w:themeColor="text1"/>
                <w:sz w:val="20"/>
                <w:szCs w:val="20"/>
              </w:rPr>
              <w:t xml:space="preserve">Wilquin</w:t>
            </w:r>
            <w:r>
              <w:rPr>
                <w:rFonts w:eastAsia="Liberation Sans" w:asciiTheme="majorHAnsi" w:hAnsiTheme="majorHAnsi" w:cstheme="majorHAnsi"/>
                <w:color w:val="000000" w:themeColor="text1"/>
                <w:sz w:val="20"/>
                <w:szCs w:val="20"/>
              </w:rPr>
              <w:t xml:space="preserve">, Bouchra </w:t>
            </w:r>
            <w:r>
              <w:rPr>
                <w:rFonts w:eastAsia="Liberation Sans" w:asciiTheme="majorHAnsi" w:hAnsiTheme="majorHAnsi" w:cstheme="majorHAnsi"/>
                <w:color w:val="000000" w:themeColor="text1"/>
                <w:sz w:val="20"/>
                <w:szCs w:val="20"/>
              </w:rPr>
              <w:t xml:space="preserve">Zouhri</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ffffff" w:fill="ffffff"/>
            <w:tcBorders>
              <w:left w:val="single" w:color="000000" w:sz="4" w:space="0"/>
              <w:bottom w:val="single" w:color="000000" w:sz="4" w:space="0"/>
            </w:tcBorders>
            <w:tcW w:w="3402" w:type="dxa"/>
          </w:tcPr>
          <w:p w14:paraId="7002D13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372171B1"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Anaïs </w:t>
            </w:r>
            <w:r>
              <w:rPr>
                <w:rFonts w:ascii="Calibri Light" w:hAnsi="Calibri Light" w:eastAsia="Calibri Light" w:cs="Calibri Light"/>
                <w:color w:val="000000"/>
                <w:sz w:val="20"/>
              </w:rPr>
              <w:t xml:space="preserve">Osmont</w:t>
            </w:r>
            <w:r>
              <w:rPr>
                <w:rFonts w:ascii="Calibri Light" w:hAnsi="Calibri Light" w:eastAsia="Calibri Light" w:cs="Calibri Light"/>
                <w:color w:val="000000"/>
                <w:sz w:val="20"/>
              </w:rPr>
              <w:t xml:space="preserve">, Hélène </w:t>
            </w:r>
            <w:r>
              <w:rPr>
                <w:rFonts w:ascii="Calibri Light" w:hAnsi="Calibri Light" w:eastAsia="Calibri Light" w:cs="Calibri Light"/>
                <w:color w:val="000000"/>
                <w:sz w:val="20"/>
              </w:rPr>
              <w:t xml:space="preserve">Wilquin</w:t>
            </w:r>
            <w:r/>
          </w:p>
        </w:tc>
      </w:tr>
      <w:tr>
        <w:trPr/>
        <w:tc>
          <w:tcPr>
            <w:shd w:val="clear" w:color="ffffff" w:fill="ffffff"/>
            <w:tcBorders>
              <w:left w:val="single" w:color="000000" w:sz="4" w:space="0"/>
              <w:bottom w:val="single" w:color="000000" w:sz="4" w:space="0"/>
            </w:tcBorders>
            <w:tcW w:w="3402" w:type="dxa"/>
          </w:tcPr>
          <w:p w14:paraId="17A562E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w:t>
            </w:r>
            <w:r>
              <w:rPr>
                <w:rFonts w:eastAsia="Times New Roman"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t xml:space="preserve">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3ECF9A52" w14:textId="77777777">
            <w:pPr>
              <w:pBdr>
                <w:top w:val="none" w:color="000000" w:sz="4" w:space="0"/>
                <w:left w:val="none" w:color="000000" w:sz="4" w:space="0"/>
                <w:bottom w:val="none" w:color="000000" w:sz="4" w:space="0"/>
                <w:right w:val="none" w:color="000000" w:sz="4" w:space="0"/>
                <w:between w:val="none" w:color="000000" w:sz="4" w:space="0"/>
              </w:pBdr>
              <w:spacing w:after="160"/>
              <w:ind w:firstLine="0"/>
              <w:rPr/>
            </w:pPr>
            <w:r>
              <w:rPr>
                <w:color w:val="000000"/>
                <w:sz w:val="20"/>
              </w:rPr>
              <w:t xml:space="preserve">- Accompagnement à la rédaction d’un rapport de stage associé à une immersion en milieu professionnel (= stage de 80h à réaliser dans une structure de recherche soit au semestre 5 (UE HPS5U34) soit au semestre </w:t>
            </w:r>
            <w:r>
              <w:rPr>
                <w:color w:val="000000"/>
                <w:sz w:val="20"/>
              </w:rPr>
              <w:t xml:space="preserve">6  et</w:t>
            </w:r>
            <w:r>
              <w:rPr>
                <w:color w:val="000000"/>
                <w:sz w:val="20"/>
              </w:rPr>
              <w:t xml:space="preserve"> participation active aux séances de régulation (rôles et missions dans le cadre du stage). Stage pouvant être </w:t>
            </w:r>
            <w:r>
              <w:rPr>
                <w:color w:val="000000"/>
                <w:sz w:val="20"/>
              </w:rPr>
              <w:t xml:space="preserve">réalisé  auprès</w:t>
            </w:r>
            <w:r>
              <w:rPr>
                <w:color w:val="000000"/>
                <w:sz w:val="20"/>
              </w:rPr>
              <w:t xml:space="preserve"> d’un chercheur, ingénieur d’étude, ingénieur de recherche,  d’un médiateur scientifique, d’un gestionnaire de données de recherche, d’un administratif accompagnateur de projets de recherche, etc.</w:t>
            </w:r>
            <w:r/>
          </w:p>
          <w:p w14:paraId="3D601F4B"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rFonts w:eastAsia="Liberation Sans" w:asciiTheme="majorHAnsi" w:hAnsiTheme="majorHAnsi" w:cstheme="majorHAnsi"/>
                <w:color w:val="000000" w:themeColor="text1"/>
                <w:sz w:val="20"/>
                <w:szCs w:val="20"/>
              </w:rPr>
            </w:pPr>
            <w:r>
              <w:rPr>
                <w:color w:val="000000"/>
                <w:sz w:val="20"/>
              </w:rPr>
              <w:t xml:space="preserve">- Poursuite de la réalisation d’un projet tutoré en petits groupes (en continuité avec l’UE HPS5U34)</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ffffff" w:fill="ffffff"/>
            <w:tcBorders>
              <w:top w:val="single" w:color="000000" w:sz="4" w:space="0"/>
              <w:left w:val="single" w:color="000000" w:sz="4" w:space="0"/>
              <w:bottom w:val="single" w:color="000000" w:sz="4" w:space="0"/>
            </w:tcBorders>
            <w:tcW w:w="3402" w:type="dxa"/>
          </w:tcPr>
          <w:p w14:paraId="4FD7C12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6236" w:type="dxa"/>
          </w:tcPr>
          <w:p w14:paraId="231AD9E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color w:val="000000"/>
                <w:sz w:val="20"/>
                <w:szCs w:val="20"/>
              </w:rPr>
            </w:pPr>
            <w:r>
              <w:rPr>
                <w:color w:val="000000"/>
                <w:sz w:val="20"/>
              </w:rPr>
              <w:t xml:space="preserve">Activités pédagogiques en petits groupes, montage de projets, régulations de stage</w:t>
            </w:r>
            <w:r>
              <w:rPr>
                <w:rFonts w:asciiTheme="majorHAnsi" w:hAnsiTheme="majorHAnsi" w:cstheme="majorHAnsi"/>
                <w:color w:val="000000"/>
                <w:sz w:val="20"/>
                <w:szCs w:val="20"/>
              </w:rPr>
            </w:r>
            <w:r>
              <w:rPr>
                <w:rFonts w:asciiTheme="majorHAnsi" w:hAnsiTheme="majorHAnsi" w:cstheme="majorHAnsi"/>
                <w:color w:val="000000"/>
                <w:sz w:val="20"/>
                <w:szCs w:val="20"/>
              </w:rPr>
            </w:r>
          </w:p>
          <w:p w14:paraId="582644BD" w14:textId="77777777">
            <w:pPr>
              <w:pBdr>
                <w:top w:val="none" w:color="000000" w:sz="4" w:space="0"/>
                <w:left w:val="none" w:color="000000" w:sz="4" w:space="0"/>
                <w:bottom w:val="none" w:color="000000" w:sz="4" w:space="0"/>
                <w:right w:val="none" w:color="000000" w:sz="4" w:space="0"/>
              </w:pBdr>
              <w:spacing/>
              <w:ind w:firstLine="0"/>
              <w:rPr>
                <w:sz w:val="20"/>
                <w:szCs w:val="20"/>
              </w:rPr>
            </w:pPr>
            <w:r>
              <w:rPr>
                <w:b/>
                <w:color w:val="000000"/>
                <w:sz w:val="20"/>
                <w:szCs w:val="20"/>
              </w:rPr>
              <w:t xml:space="preserve">ATTENTION : lors des inscriptions pédagogiques vous inscrire UNIQUEMENT dans le groupe de TD prévu pour cette UE dont les enseignements sont les lundi de 14h à 18h une fois tous les 15 jours</w:t>
            </w:r>
            <w:r>
              <w:rPr>
                <w:sz w:val="20"/>
                <w:szCs w:val="20"/>
              </w:rPr>
            </w:r>
            <w:r>
              <w:rPr>
                <w:sz w:val="20"/>
                <w:szCs w:val="20"/>
              </w:rPr>
            </w:r>
          </w:p>
        </w:tc>
      </w:tr>
      <w:tr>
        <w:trPr/>
        <w:tc>
          <w:tcPr>
            <w:shd w:val="clear" w:color="ffffff" w:fill="e6e6e6"/>
            <w:tcBorders>
              <w:top w:val="single" w:color="000000" w:sz="4" w:space="0"/>
              <w:left w:val="single" w:color="000000" w:sz="4" w:space="0"/>
              <w:bottom w:val="single" w:color="000000" w:sz="4" w:space="0"/>
            </w:tcBorders>
            <w:tcW w:w="3402" w:type="dxa"/>
          </w:tcPr>
          <w:p w14:paraId="49E1C8E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0"/>
                <w:szCs w:val="20"/>
              </w:rPr>
            </w:pP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p>
        </w:tc>
        <w:tc>
          <w:tcPr>
            <w:shd w:val="clear" w:color="ffffff" w:fill="e6e6e6"/>
            <w:tcBorders>
              <w:top w:val="single" w:color="000000" w:sz="4" w:space="0"/>
              <w:left w:val="single" w:color="000000" w:sz="4" w:space="0"/>
              <w:bottom w:val="single" w:color="000000" w:sz="4" w:space="0"/>
              <w:right w:val="single" w:color="000000" w:sz="4" w:space="0"/>
            </w:tcBorders>
            <w:tcW w:w="6236" w:type="dxa"/>
          </w:tcPr>
          <w:p w14:paraId="75E4C5B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0"/>
                <w:szCs w:val="20"/>
              </w:rPr>
            </w:pP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p>
        </w:tc>
      </w:tr>
      <w:tr>
        <w:trPr/>
        <w:tc>
          <w:tcPr>
            <w:shd w:val="clear" w:color="ffffff" w:fill="ffffff"/>
            <w:tcBorders>
              <w:left w:val="single" w:color="000000" w:sz="4" w:space="0"/>
              <w:bottom w:val="single" w:color="000000" w:sz="4" w:space="0"/>
            </w:tcBorders>
            <w:tcW w:w="3402" w:type="dxa"/>
          </w:tcPr>
          <w:p w14:paraId="444D859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6D0BD6A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Français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ffffff" w:fill="ffffff"/>
            <w:tcBorders>
              <w:left w:val="single" w:color="000000" w:sz="4" w:space="0"/>
              <w:bottom w:val="single" w:color="000000" w:sz="4" w:space="0"/>
            </w:tcBorders>
            <w:tcW w:w="3402" w:type="dxa"/>
          </w:tcPr>
          <w:p w14:paraId="2D82AE2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095F687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Psychologie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ffffff" w:fill="ffffff"/>
            <w:tcBorders>
              <w:left w:val="single" w:color="000000" w:sz="4" w:space="0"/>
              <w:bottom w:val="single" w:color="000000" w:sz="4" w:space="0"/>
            </w:tcBorders>
            <w:tcW w:w="3402" w:type="dxa"/>
          </w:tcPr>
          <w:p w14:paraId="7BC52E8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56971A8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24h TD</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ffffff" w:fill="ffffff"/>
            <w:tcBorders>
              <w:left w:val="single" w:color="000000" w:sz="4" w:space="0"/>
              <w:bottom w:val="single" w:color="000000" w:sz="4" w:space="0"/>
            </w:tcBorders>
            <w:tcW w:w="3402" w:type="dxa"/>
          </w:tcPr>
          <w:p w14:paraId="550823D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p w14:paraId="34539D7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06CD8899"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Carmona, C., &amp; </w:t>
            </w:r>
            <w:r>
              <w:rPr>
                <w:color w:val="000000"/>
                <w:sz w:val="20"/>
              </w:rPr>
              <w:t xml:space="preserve">Salesses</w:t>
            </w:r>
            <w:r>
              <w:rPr>
                <w:color w:val="000000"/>
                <w:sz w:val="20"/>
              </w:rPr>
              <w:t xml:space="preserve">, L. Rapport de stage et </w:t>
            </w:r>
            <w:r>
              <w:rPr>
                <w:color w:val="000000"/>
                <w:sz w:val="20"/>
              </w:rPr>
              <w:t xml:space="preserve">mémoire:</w:t>
            </w:r>
            <w:r>
              <w:rPr>
                <w:color w:val="000000"/>
                <w:sz w:val="20"/>
              </w:rPr>
              <w:t xml:space="preserve"> écoles, BTS, BUT, licence, master (Édition 2023)</w:t>
            </w:r>
            <w:r/>
          </w:p>
          <w:p w14:paraId="15FE144D"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Charte nationale de déontologi</w:t>
            </w:r>
            <w:r>
              <w:rPr>
                <w:color w:val="000000"/>
                <w:sz w:val="20"/>
                <w:highlight w:val="white"/>
              </w:rPr>
              <w:t xml:space="preserve">e des métiers d</w:t>
            </w:r>
            <w:r>
              <w:rPr>
                <w:color w:val="000000"/>
                <w:sz w:val="20"/>
              </w:rPr>
              <w:t xml:space="preserve">e la recherche. (2015).</w:t>
            </w:r>
            <w:r/>
          </w:p>
          <w:p w14:paraId="4F5D82B9"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highlight w:val="white"/>
              </w:rPr>
              <w:t xml:space="preserve">Schöpfel</w:t>
            </w:r>
            <w:r>
              <w:rPr>
                <w:color w:val="000000"/>
                <w:sz w:val="20"/>
                <w:highlight w:val="white"/>
              </w:rPr>
              <w:t xml:space="preserve">, J. (2023). OSEC. Actes des journées de la science ouverte, Open Science </w:t>
            </w:r>
            <w:r>
              <w:rPr>
                <w:color w:val="000000"/>
                <w:sz w:val="20"/>
                <w:highlight w:val="white"/>
              </w:rPr>
              <w:t xml:space="preserve">European</w:t>
            </w:r>
            <w:r>
              <w:rPr>
                <w:color w:val="000000"/>
                <w:sz w:val="20"/>
                <w:highlight w:val="white"/>
              </w:rPr>
              <w:t xml:space="preserve"> </w:t>
            </w:r>
            <w:r>
              <w:rPr>
                <w:color w:val="000000"/>
                <w:sz w:val="20"/>
                <w:highlight w:val="white"/>
              </w:rPr>
              <w:t xml:space="preserve">Conference</w:t>
            </w:r>
            <w:r>
              <w:rPr>
                <w:color w:val="000000"/>
                <w:sz w:val="20"/>
                <w:highlight w:val="white"/>
              </w:rPr>
              <w:t xml:space="preserve"> 2022. Etudes de communication, 61, 259‑262.</w:t>
            </w:r>
            <w:r/>
          </w:p>
          <w:p w14:paraId="516CC840"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Girod, M. (2017). La diffusion de la culture scientifique auprès du jeune public. Dans : Michel </w:t>
            </w:r>
            <w:r>
              <w:rPr>
                <w:color w:val="000000"/>
                <w:sz w:val="20"/>
              </w:rPr>
              <w:t xml:space="preserve">Netzer</w:t>
            </w:r>
            <w:r>
              <w:rPr>
                <w:color w:val="000000"/>
                <w:sz w:val="20"/>
              </w:rPr>
              <w:t xml:space="preserve"> éd., Les sciences en bibliothèque (pp. 247-253). </w:t>
            </w:r>
            <w:r>
              <w:rPr>
                <w:color w:val="000000"/>
                <w:sz w:val="20"/>
              </w:rPr>
              <w:t xml:space="preserve">Paris:</w:t>
            </w:r>
            <w:r>
              <w:rPr>
                <w:color w:val="000000"/>
                <w:sz w:val="20"/>
              </w:rPr>
              <w:t xml:space="preserve"> Éditions du Cercle de la Librairie.</w:t>
            </w:r>
            <w:r/>
          </w:p>
        </w:tc>
      </w:tr>
      <w:tr>
        <w:trPr/>
        <w:tc>
          <w:tcPr>
            <w:shd w:val="clear" w:color="ffffff" w:fill="d9d9d9" w:themeFill="background1" w:themeFillShade="D9"/>
            <w:tcBorders>
              <w:left w:val="single" w:color="000000" w:sz="4" w:space="0"/>
              <w:bottom w:val="single" w:color="000000" w:sz="4" w:space="0"/>
            </w:tcBorders>
            <w:tcW w:w="3402" w:type="dxa"/>
          </w:tcPr>
          <w:p w14:paraId="3DFCEE4B"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ffffff" w:fill="d9d9d9" w:themeFill="background1" w:themeFillShade="D9"/>
            <w:tcBorders>
              <w:left w:val="single" w:color="000000" w:sz="4" w:space="0"/>
              <w:bottom w:val="single" w:color="000000" w:sz="4" w:space="0"/>
              <w:right w:val="single" w:color="000000" w:sz="4" w:space="0"/>
            </w:tcBorders>
            <w:tcW w:w="6236" w:type="dxa"/>
          </w:tcPr>
          <w:p w14:paraId="2B4E8FDC"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ffffff" w:fill="ffffff"/>
            <w:tcBorders>
              <w:left w:val="single" w:color="000000" w:sz="4" w:space="0"/>
              <w:bottom w:val="single" w:color="000000" w:sz="4" w:space="0"/>
            </w:tcBorders>
            <w:tcW w:w="3402" w:type="dxa"/>
          </w:tcPr>
          <w:p w14:paraId="7641DF1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obligatoire</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5818C4AE"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ffffff" w:fill="ffffff"/>
            <w:tcBorders>
              <w:left w:val="single" w:color="000000" w:sz="4" w:space="0"/>
              <w:bottom w:val="single" w:color="000000" w:sz="4" w:space="0"/>
            </w:tcBorders>
            <w:tcW w:w="3402" w:type="dxa"/>
          </w:tcPr>
          <w:p w14:paraId="72FC198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recommandé</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4C6D7F68"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ffffff" w:fill="e6e6e6"/>
            <w:tcBorders>
              <w:top w:val="single" w:color="000000" w:sz="4" w:space="0"/>
              <w:left w:val="single" w:color="000000" w:sz="4" w:space="0"/>
              <w:bottom w:val="single" w:color="000000" w:sz="4" w:space="0"/>
            </w:tcBorders>
            <w:tcW w:w="3402" w:type="dxa"/>
          </w:tcPr>
          <w:p w14:paraId="44FF82D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2"/>
                <w:szCs w:val="20"/>
              </w:rPr>
            </w:pP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p>
        </w:tc>
        <w:tc>
          <w:tcPr>
            <w:shd w:val="clear" w:color="ffffff" w:fill="e6e6e6"/>
            <w:tcBorders>
              <w:top w:val="single" w:color="000000" w:sz="4" w:space="0"/>
              <w:left w:val="single" w:color="000000" w:sz="4" w:space="0"/>
              <w:bottom w:val="single" w:color="000000" w:sz="4" w:space="0"/>
              <w:right w:val="single" w:color="000000" w:sz="4" w:space="0"/>
            </w:tcBorders>
            <w:tcW w:w="6236" w:type="dxa"/>
          </w:tcPr>
          <w:p w14:paraId="194B031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2"/>
                <w:szCs w:val="20"/>
              </w:rPr>
            </w:pP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p>
        </w:tc>
      </w:tr>
      <w:tr>
        <w:trPr/>
        <w:tc>
          <w:tcPr>
            <w:shd w:val="clear" w:color="ffffff" w:fill="ffffff"/>
            <w:tcBorders>
              <w:left w:val="single" w:color="000000" w:sz="4" w:space="0"/>
              <w:bottom w:val="single" w:color="000000" w:sz="4" w:space="0"/>
            </w:tcBorders>
            <w:tcW w:w="3402" w:type="dxa"/>
          </w:tcPr>
          <w:p w14:paraId="7938CA2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ffffff" w:fill="ffffff"/>
            <w:tcBorders>
              <w:left w:val="single" w:color="000000" w:sz="4" w:space="0"/>
              <w:bottom w:val="single" w:color="000000" w:sz="4" w:space="0"/>
              <w:right w:val="single" w:color="000000" w:sz="4" w:space="0"/>
            </w:tcBorders>
            <w:tcW w:w="6236" w:type="dxa"/>
          </w:tcPr>
          <w:p w14:paraId="12B0425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Cs/>
                <w:i/>
                <w:color w:val="000000" w:themeColor="text1"/>
                <w:sz w:val="20"/>
                <w:szCs w:val="20"/>
              </w:rPr>
            </w:pPr>
            <w:r>
              <w:rPr>
                <w:rFonts w:eastAsia="Liberation Sans" w:asciiTheme="majorHAnsi" w:hAnsiTheme="majorHAnsi" w:cstheme="majorHAnsi"/>
                <w:i/>
                <w:color w:val="000000" w:themeColor="text1"/>
                <w:sz w:val="20"/>
                <w:szCs w:val="20"/>
              </w:rPr>
              <w:t xml:space="preserve">Contrôle Continu partiel (Contrôle terminal : rapport de stage note individuelle 75% + contrôle continu : projet tutoré note de groupe 25%)</w:t>
            </w:r>
            <w:r>
              <w:rPr>
                <w:rFonts w:eastAsia="Liberation Sans" w:asciiTheme="majorHAnsi" w:hAnsiTheme="majorHAnsi" w:cstheme="majorHAnsi"/>
                <w:bCs/>
                <w:i/>
                <w:color w:val="000000" w:themeColor="text1"/>
                <w:sz w:val="20"/>
                <w:szCs w:val="20"/>
              </w:rPr>
            </w:r>
            <w:r>
              <w:rPr>
                <w:rFonts w:eastAsia="Liberation Sans" w:asciiTheme="majorHAnsi" w:hAnsiTheme="majorHAnsi" w:cstheme="majorHAnsi"/>
                <w:bCs/>
                <w:i/>
                <w:color w:val="000000" w:themeColor="text1"/>
                <w:sz w:val="20"/>
                <w:szCs w:val="20"/>
              </w:rPr>
            </w:r>
          </w:p>
          <w:p w14:paraId="0EECD28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Cs/>
                <w:i/>
                <w:color w:val="000000" w:themeColor="text1"/>
                <w:sz w:val="20"/>
                <w:szCs w:val="20"/>
              </w:rPr>
            </w:pPr>
            <w:r>
              <w:rPr>
                <w:rFonts w:eastAsia="Liberation Sans" w:asciiTheme="majorHAnsi" w:hAnsiTheme="majorHAnsi" w:cstheme="majorHAnsi"/>
                <w:bCs/>
                <w:i/>
                <w:color w:val="000000" w:themeColor="text1"/>
                <w:sz w:val="20"/>
                <w:szCs w:val="20"/>
              </w:rPr>
            </w:r>
            <w:r>
              <w:rPr>
                <w:rFonts w:eastAsia="Liberation Sans" w:asciiTheme="majorHAnsi" w:hAnsiTheme="majorHAnsi" w:cstheme="majorHAnsi"/>
                <w:bCs/>
                <w:i/>
                <w:color w:val="000000" w:themeColor="text1"/>
                <w:sz w:val="20"/>
                <w:szCs w:val="20"/>
              </w:rPr>
            </w:r>
            <w:r>
              <w:rPr>
                <w:rFonts w:eastAsia="Liberation Sans" w:asciiTheme="majorHAnsi" w:hAnsiTheme="majorHAnsi" w:cstheme="majorHAnsi"/>
                <w:bCs/>
                <w:i/>
                <w:color w:val="000000" w:themeColor="text1"/>
                <w:sz w:val="20"/>
                <w:szCs w:val="20"/>
              </w:rPr>
            </w:r>
          </w:p>
          <w:p w14:paraId="2E563CB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t xml:space="preserve">Régime dérogatoire : Contrôle terminal : rapport de stage note individuelle 100%</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p w14:paraId="3D6536D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Cs/>
                <w:i/>
                <w:color w:val="000000" w:themeColor="text1"/>
                <w:sz w:val="20"/>
                <w:szCs w:val="20"/>
              </w:rPr>
            </w:pPr>
            <w:r>
              <w:rPr>
                <w:rFonts w:eastAsia="Liberation Sans" w:asciiTheme="majorHAnsi" w:hAnsiTheme="majorHAnsi" w:cstheme="majorHAnsi"/>
                <w:bCs/>
                <w:i/>
                <w:color w:val="000000" w:themeColor="text1"/>
                <w:sz w:val="20"/>
                <w:szCs w:val="20"/>
              </w:rPr>
            </w:r>
            <w:r>
              <w:rPr>
                <w:rFonts w:eastAsia="Liberation Sans" w:asciiTheme="majorHAnsi" w:hAnsiTheme="majorHAnsi" w:cstheme="majorHAnsi"/>
                <w:bCs/>
                <w:i/>
                <w:color w:val="000000" w:themeColor="text1"/>
                <w:sz w:val="20"/>
                <w:szCs w:val="20"/>
              </w:rPr>
            </w:r>
            <w:r>
              <w:rPr>
                <w:rFonts w:eastAsia="Liberation Sans" w:asciiTheme="majorHAnsi" w:hAnsiTheme="majorHAnsi" w:cstheme="majorHAnsi"/>
                <w:bCs/>
                <w:i/>
                <w:color w:val="000000" w:themeColor="text1"/>
                <w:sz w:val="20"/>
                <w:szCs w:val="20"/>
              </w:rPr>
            </w:r>
          </w:p>
        </w:tc>
      </w:tr>
    </w:tbl>
    <w:p w14:paraId="12F9ED3C" w14:textId="2CADF0F5">
      <w:pPr>
        <w:pStyle w:val="972"/>
        <w:pBdr/>
        <w:spacing w:after="0" w:before="0"/>
        <w:ind/>
        <w:rPr>
          <w:rFonts w:asciiTheme="majorHAnsi" w:hAnsiTheme="majorHAnsi" w:cstheme="majorHAnsi"/>
          <w:color w:val="000000"/>
          <w:sz w:val="20"/>
          <w:szCs w:val="20"/>
        </w:rPr>
      </w:pPr>
      <w:r>
        <w:rPr>
          <w:rFonts w:asciiTheme="majorHAnsi" w:hAnsiTheme="majorHAnsi" w:cstheme="majorHAnsi"/>
          <w:color w:val="000000"/>
          <w:sz w:val="20"/>
          <w:szCs w:val="20"/>
        </w:rPr>
      </w:r>
      <w:r>
        <w:rPr>
          <w:rFonts w:asciiTheme="majorHAnsi" w:hAnsiTheme="majorHAnsi" w:cstheme="majorHAnsi"/>
          <w:color w:val="000000"/>
          <w:sz w:val="20"/>
          <w:szCs w:val="20"/>
        </w:rPr>
      </w:r>
      <w:r>
        <w:rPr>
          <w:rFonts w:asciiTheme="majorHAnsi" w:hAnsiTheme="majorHAnsi" w:cstheme="majorHAnsi"/>
          <w:color w:val="000000"/>
          <w:sz w:val="20"/>
          <w:szCs w:val="20"/>
        </w:rPr>
      </w:r>
    </w:p>
    <w:p w14:paraId="78762D4F" w14:textId="77777777">
      <w:pPr>
        <w:pBdr/>
        <w:tabs>
          <w:tab w:val="left" w:leader="none" w:pos="1287"/>
        </w:tabs>
        <w:spacing/>
        <w:ind w:firstLine="0"/>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08A29230" w14:textId="77777777">
      <w:pPr>
        <w:pBdr/>
        <w:tabs>
          <w:tab w:val="left" w:leader="none" w:pos="1287"/>
        </w:tabs>
        <w:spacing/>
        <w:ind w:firstLine="0"/>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210974AC" w14:textId="77777777">
      <w:pPr>
        <w:pBdr/>
        <w:tabs>
          <w:tab w:val="left" w:leader="none" w:pos="1287"/>
        </w:tabs>
        <w:spacing/>
        <w:ind w:firstLine="0"/>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28FA6C75" w14:textId="77777777">
      <w:pPr>
        <w:pBdr/>
        <w:tabs>
          <w:tab w:val="left" w:leader="none" w:pos="1287"/>
        </w:tabs>
        <w:spacing/>
        <w:ind w:firstLine="0"/>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18D12CBE" w14:textId="77777777">
      <w:pPr>
        <w:pBdr/>
        <w:tabs>
          <w:tab w:val="left" w:leader="none" w:pos="1287"/>
        </w:tabs>
        <w:spacing/>
        <w:ind w:firstLine="0"/>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55FAE9A6" w14:textId="77777777">
      <w:pPr>
        <w:pBdr/>
        <w:tabs>
          <w:tab w:val="left" w:leader="none" w:pos="1287"/>
        </w:tabs>
        <w:spacing/>
        <w:ind w:firstLine="0"/>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2C11F5F4" w14:textId="77777777">
      <w:pPr>
        <w:pBdr/>
        <w:tabs>
          <w:tab w:val="left" w:leader="none" w:pos="1287"/>
        </w:tabs>
        <w:spacing/>
        <w:ind w:firstLine="0"/>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789B216C" w14:textId="77777777">
      <w:pPr>
        <w:pBdr/>
        <w:tabs>
          <w:tab w:val="left" w:leader="none" w:pos="1287"/>
        </w:tabs>
        <w:spacing/>
        <w:ind w:firstLine="0"/>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202C69D6" w14:textId="77777777">
      <w:pPr>
        <w:pBdr/>
        <w:tabs>
          <w:tab w:val="left" w:leader="none" w:pos="1287"/>
        </w:tabs>
        <w:spacing/>
        <w:ind w:firstLine="0"/>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049DE523" w14:textId="77777777">
      <w:pPr>
        <w:pBdr/>
        <w:tabs>
          <w:tab w:val="left" w:leader="none" w:pos="1287"/>
        </w:tabs>
        <w:spacing/>
        <w:ind w:firstLine="0"/>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294F4C4D" w14:textId="77777777">
      <w:pPr>
        <w:pBdr/>
        <w:tabs>
          <w:tab w:val="left" w:leader="none" w:pos="1287"/>
        </w:tabs>
        <w:spacing/>
        <w:ind w:firstLine="0"/>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3BAC1330" w14:textId="77777777">
      <w:pPr>
        <w:pBdr/>
        <w:tabs>
          <w:tab w:val="left" w:leader="none" w:pos="1287"/>
        </w:tabs>
        <w:spacing/>
        <w:ind w:firstLine="0"/>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7DEF4AC5" w14:textId="77777777">
      <w:pPr>
        <w:pBdr/>
        <w:tabs>
          <w:tab w:val="left" w:leader="none" w:pos="1287"/>
        </w:tabs>
        <w:spacing/>
        <w:ind w:firstLine="0"/>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08B88F82" w14:textId="77777777">
      <w:pPr>
        <w:pBdr/>
        <w:tabs>
          <w:tab w:val="left" w:leader="none" w:pos="1287"/>
        </w:tabs>
        <w:spacing/>
        <w:ind w:firstLine="0"/>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08E29FA9" w14:textId="77777777">
      <w:pPr>
        <w:pBdr/>
        <w:tabs>
          <w:tab w:val="left" w:leader="none" w:pos="1287"/>
        </w:tabs>
        <w:spacing/>
        <w:ind w:firstLine="0"/>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073CE14D" w14:textId="77777777">
      <w:pPr>
        <w:pBdr/>
        <w:tabs>
          <w:tab w:val="left" w:leader="none" w:pos="1287"/>
        </w:tabs>
        <w:spacing/>
        <w:ind w:firstLine="0"/>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09FB3570" w14:textId="77777777">
      <w:pPr>
        <w:pBdr/>
        <w:tabs>
          <w:tab w:val="left" w:leader="none" w:pos="1287"/>
        </w:tabs>
        <w:spacing/>
        <w:ind w:firstLine="0"/>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2DFEB561" w14:textId="77777777">
      <w:pPr>
        <w:pBdr/>
        <w:tabs>
          <w:tab w:val="left" w:leader="none" w:pos="1287"/>
        </w:tabs>
        <w:spacing/>
        <w:ind w:firstLine="0"/>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33F0D760" w14:textId="77777777">
      <w:pPr>
        <w:pBdr/>
        <w:tabs>
          <w:tab w:val="left" w:leader="none" w:pos="1287"/>
        </w:tabs>
        <w:spacing/>
        <w:ind w:firstLine="0"/>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7E1C60E9" w14:textId="77777777">
      <w:pPr>
        <w:pBdr/>
        <w:tabs>
          <w:tab w:val="left" w:leader="none" w:pos="1287"/>
        </w:tabs>
        <w:spacing/>
        <w:ind w:firstLine="0"/>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608B74B0" w14:textId="39835338">
      <w:pPr>
        <w:pBdr/>
        <w:tabs>
          <w:tab w:val="left" w:leader="none" w:pos="1287"/>
        </w:tabs>
        <w:spacing/>
        <w:ind w:firstLine="0"/>
        <w:jc w:val="center"/>
        <w:rPr>
          <w:rFonts w:asciiTheme="majorHAnsi" w:hAnsiTheme="majorHAnsi" w:cstheme="majorHAnsi"/>
          <w:b/>
          <w:bCs/>
          <w:color w:val="000000" w:themeColor="text1"/>
        </w:rPr>
      </w:pPr>
      <w:r>
        <w:rPr>
          <w:rFonts w:asciiTheme="majorHAnsi" w:hAnsiTheme="majorHAnsi" w:cstheme="majorHAnsi"/>
          <w:b/>
          <w:bCs/>
          <w:color w:val="000000" w:themeColor="text1"/>
        </w:rPr>
        <w:t xml:space="preserve">ENSEIGNEMENTS OBLIGATOIRES :</w:t>
      </w:r>
      <w:r>
        <w:rPr>
          <w:rFonts w:asciiTheme="majorHAnsi" w:hAnsiTheme="majorHAnsi" w:cstheme="majorHAnsi"/>
          <w:b/>
          <w:bCs/>
          <w:color w:val="000000" w:themeColor="text1"/>
        </w:rPr>
      </w:r>
      <w:r>
        <w:rPr>
          <w:rFonts w:asciiTheme="majorHAnsi" w:hAnsiTheme="majorHAnsi" w:cstheme="majorHAnsi"/>
          <w:b/>
          <w:bCs/>
          <w:color w:val="000000" w:themeColor="text1"/>
        </w:rPr>
      </w:r>
    </w:p>
    <w:p w14:paraId="34FDAD0F" w14:textId="02E4F55D">
      <w:pPr>
        <w:pStyle w:val="1193"/>
        <w:pBdr/>
        <w:tabs>
          <w:tab w:val="left" w:leader="none" w:pos="1287"/>
        </w:tabs>
        <w:spacing/>
        <w:ind w:firstLine="0" w:left="432"/>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tbl>
      <w:tblPr>
        <w:tblStyle w:val="1166"/>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6C2E9890"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29FCE1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658C443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5121EE7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HPS6U35</w:t>
            </w:r>
            <w:r>
              <w:rPr>
                <w:rFonts w:eastAsia="Liberation Sans" w:asciiTheme="majorHAnsi" w:hAnsiTheme="majorHAnsi" w:cstheme="majorHAnsi"/>
                <w:b/>
                <w:color w:val="000000" w:themeColor="text1"/>
                <w:sz w:val="20"/>
                <w:szCs w:val="20"/>
                <w:highlight w:val="yellow"/>
              </w:rPr>
            </w:r>
            <w:r>
              <w:rPr>
                <w:rFonts w:eastAsia="Liberation Sans" w:asciiTheme="majorHAnsi" w:hAnsiTheme="majorHAnsi" w:cstheme="majorHAnsi"/>
                <w:b/>
                <w:color w:val="000000" w:themeColor="text1"/>
                <w:sz w:val="20"/>
                <w:szCs w:val="20"/>
                <w:highlight w:val="yellow"/>
              </w:rPr>
            </w:r>
          </w:p>
        </w:tc>
      </w:tr>
      <w:tr>
        <w:trPr/>
        <w:tc>
          <w:tcPr>
            <w:shd w:val="clear" w:color="auto" w:fill="auto"/>
            <w:tcBorders>
              <w:left w:val="single" w:color="000000" w:sz="4" w:space="0"/>
              <w:bottom w:val="single" w:color="000000" w:sz="4" w:space="0"/>
            </w:tcBorders>
            <w:tcW w:w="3402" w:type="dxa"/>
          </w:tcPr>
          <w:p w14:paraId="2B98B83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CE1046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Anglais pour psychologues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E9C9D3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947571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9EDDA1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4D48DED" w14:textId="77777777">
            <w:pPr>
              <w:numPr>
                <w:ilvl w:val="0"/>
                <w:numId w:val="37"/>
              </w:numPr>
              <w:pBdr>
                <w:top w:val="none" w:color="000000" w:sz="4" w:space="0"/>
                <w:left w:val="none" w:color="000000" w:sz="4" w:space="0"/>
                <w:bottom w:val="none" w:color="000000" w:sz="4" w:space="0"/>
                <w:right w:val="none" w:color="000000" w:sz="4" w:space="0"/>
              </w:pBdr>
              <w:tabs>
                <w:tab w:val="left" w:leader="none" w:pos="720"/>
              </w:tabs>
              <w:spacing/>
              <w:ind/>
              <w:rPr/>
            </w:pPr>
            <w:r>
              <w:rPr>
                <w:color w:val="000000"/>
                <w:sz w:val="20"/>
              </w:rPr>
              <w:t xml:space="preserve">Travail sur les compétences écrites et orales de la langue basé sur des thèmes de psychologie</w:t>
            </w:r>
            <w:r/>
          </w:p>
          <w:p w14:paraId="1955BAAE" w14:textId="77777777">
            <w:pPr>
              <w:numPr>
                <w:ilvl w:val="0"/>
                <w:numId w:val="38"/>
              </w:numPr>
              <w:pBdr>
                <w:top w:val="none" w:color="000000" w:sz="4" w:space="0"/>
                <w:left w:val="none" w:color="000000" w:sz="4" w:space="0"/>
                <w:bottom w:val="none" w:color="000000" w:sz="4" w:space="0"/>
                <w:right w:val="none" w:color="000000" w:sz="4" w:space="0"/>
              </w:pBdr>
              <w:tabs>
                <w:tab w:val="left" w:leader="none" w:pos="720"/>
              </w:tabs>
              <w:spacing/>
              <w:ind/>
              <w:rPr/>
            </w:pPr>
            <w:r>
              <w:rPr>
                <w:color w:val="000000"/>
                <w:sz w:val="20"/>
              </w:rPr>
              <w:t xml:space="preserve">Lecture et analyse d’articles scientifiques</w:t>
            </w:r>
            <w:r/>
          </w:p>
          <w:p w14:paraId="08E7692D" w14:textId="77777777">
            <w:pPr>
              <w:numPr>
                <w:ilvl w:val="0"/>
                <w:numId w:val="37"/>
              </w:numPr>
              <w:pBdr>
                <w:top w:val="none" w:color="000000" w:sz="4" w:space="0"/>
                <w:left w:val="none" w:color="000000" w:sz="4" w:space="0"/>
                <w:bottom w:val="none" w:color="000000" w:sz="4" w:space="0"/>
                <w:right w:val="none" w:color="000000" w:sz="4" w:space="0"/>
              </w:pBdr>
              <w:tabs>
                <w:tab w:val="left" w:leader="none" w:pos="720"/>
              </w:tabs>
              <w:spacing/>
              <w:ind/>
              <w:rPr>
                <w:color w:val="000000"/>
                <w:sz w:val="20"/>
                <w:szCs w:val="20"/>
              </w:rPr>
            </w:pPr>
            <w:r>
              <w:rPr>
                <w:color w:val="000000"/>
                <w:sz w:val="20"/>
              </w:rPr>
              <w:t xml:space="preserve">Révisions de points de grammaire en contexte</w:t>
            </w:r>
            <w:r>
              <w:rPr>
                <w:color w:val="000000"/>
                <w:sz w:val="20"/>
                <w:szCs w:val="20"/>
              </w:rPr>
            </w:r>
            <w:r>
              <w:rPr>
                <w:color w:val="000000"/>
                <w:sz w:val="20"/>
                <w:szCs w:val="20"/>
              </w:rPr>
            </w:r>
          </w:p>
          <w:p w14:paraId="30BA8D29" w14:textId="77777777">
            <w:pPr>
              <w:numPr>
                <w:ilvl w:val="0"/>
                <w:numId w:val="37"/>
              </w:numPr>
              <w:pBdr>
                <w:top w:val="none" w:color="000000" w:sz="4" w:space="0"/>
                <w:left w:val="none" w:color="000000" w:sz="4" w:space="0"/>
                <w:bottom w:val="none" w:color="000000" w:sz="4" w:space="0"/>
                <w:right w:val="none" w:color="000000" w:sz="4" w:space="0"/>
              </w:pBdr>
              <w:tabs>
                <w:tab w:val="left" w:leader="none" w:pos="720"/>
              </w:tabs>
              <w:spacing/>
              <w:ind/>
              <w:rPr>
                <w:sz w:val="24"/>
                <w:szCs w:val="24"/>
              </w:rPr>
            </w:pPr>
            <w:r>
              <w:rPr>
                <w:color w:val="000000"/>
                <w:sz w:val="20"/>
              </w:rPr>
              <w:t xml:space="preserve">Acquisition et renforcement du vocabulaire en lien avec la psychologie</w:t>
            </w:r>
            <w:r>
              <w:rPr>
                <w:sz w:val="24"/>
                <w:szCs w:val="24"/>
              </w:rPr>
            </w:r>
            <w:r>
              <w:rPr>
                <w:sz w:val="24"/>
                <w:szCs w:val="24"/>
              </w:rPr>
            </w:r>
          </w:p>
        </w:tc>
      </w:tr>
      <w:tr>
        <w:trPr/>
        <w:tc>
          <w:tcPr>
            <w:shd w:val="clear" w:color="auto" w:fill="auto"/>
            <w:tcBorders>
              <w:top w:val="single" w:color="000000" w:sz="4" w:space="0"/>
              <w:left w:val="single" w:color="000000" w:sz="4" w:space="0"/>
              <w:bottom w:val="single" w:color="000000" w:sz="4" w:space="0"/>
            </w:tcBorders>
            <w:tcW w:w="3402" w:type="dxa"/>
          </w:tcPr>
          <w:p w14:paraId="6EA063A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A1B9B9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3 ECTS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BC1B349"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107C8D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ED1B29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DBC7B4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color w:val="000000"/>
                <w:sz w:val="20"/>
              </w:rPr>
              <w:t xml:space="preserve">Maîtrise de la compréhension écrite et orale de documents niveau C1 sur des thèmes de psychologie. Maîtrise de la méthodologie de lecture d’articles scientifiques en anglais. </w:t>
            </w:r>
            <w:r>
              <w:rPr>
                <w:color w:val="000000"/>
                <w:sz w:val="20"/>
              </w:rPr>
              <w:t xml:space="preserve">Savoir faire</w:t>
            </w:r>
            <w:r>
              <w:rPr>
                <w:color w:val="000000"/>
                <w:sz w:val="20"/>
              </w:rPr>
              <w:t xml:space="preserve"> une fiche de lecture pour un article donné.</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A568BD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53FA89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038BA5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B51206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Déborah Prudhon</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C5D737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82400B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21EC4B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w:t>
            </w:r>
            <w:r>
              <w:rPr>
                <w:rFonts w:eastAsia="Times New Roman"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t xml:space="preserve">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16E3112"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626BC5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713A187" w14:textId="77777777">
            <w:pPr>
              <w:pBdr>
                <w:top w:val="none" w:color="000000" w:sz="4" w:space="0"/>
                <w:left w:val="none" w:color="000000" w:sz="4" w:space="0"/>
                <w:bottom w:val="none" w:color="000000" w:sz="4" w:space="0"/>
                <w:right w:val="none" w:color="000000" w:sz="4" w:space="0"/>
              </w:pBdr>
              <w:spacing/>
              <w:ind w:firstLine="0"/>
              <w:rPr/>
            </w:pPr>
            <w:r>
              <w:rPr>
                <w:color w:val="000000"/>
                <w:sz w:val="20"/>
              </w:rPr>
              <w:t xml:space="preserve">Mise à disposition des documents étudiés en cours et de compléments sur </w:t>
            </w:r>
            <w:r>
              <w:rPr>
                <w:color w:val="000000"/>
                <w:sz w:val="20"/>
              </w:rPr>
              <w:t xml:space="preserve">Amétice</w:t>
            </w:r>
            <w:r>
              <w:rPr>
                <w:color w:val="000000"/>
                <w:sz w:val="20"/>
              </w:rPr>
              <w:t xml:space="preserve">.</w:t>
            </w:r>
            <w:r/>
          </w:p>
          <w:p w14:paraId="4728AF0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color w:val="000000" w:themeColor="text1"/>
                <w:sz w:val="20"/>
                <w:szCs w:val="20"/>
              </w:rPr>
            </w:pPr>
            <w:r>
              <w:rPr>
                <w:color w:val="000000"/>
                <w:sz w:val="20"/>
              </w:rPr>
              <w:t xml:space="preserve">Un examen blanc (« </w:t>
            </w:r>
            <w:r>
              <w:rPr>
                <w:color w:val="000000"/>
                <w:sz w:val="20"/>
              </w:rPr>
              <w:t xml:space="preserve">mock</w:t>
            </w:r>
            <w:r>
              <w:rPr>
                <w:color w:val="000000"/>
                <w:sz w:val="20"/>
              </w:rPr>
              <w:t xml:space="preserve"> exam ») pour s’entraîner à l’examen final est proposé lors de la dernière séance de TD.</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AFFD8C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0"/>
                <w:szCs w:val="20"/>
              </w:rPr>
            </w:pP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42C840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0"/>
                <w:szCs w:val="20"/>
              </w:rPr>
            </w:pP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p>
        </w:tc>
      </w:tr>
      <w:tr>
        <w:trPr/>
        <w:tc>
          <w:tcPr>
            <w:shd w:val="clear" w:color="auto" w:fill="auto"/>
            <w:tcBorders>
              <w:left w:val="single" w:color="000000" w:sz="4" w:space="0"/>
              <w:bottom w:val="single" w:color="000000" w:sz="4" w:space="0"/>
            </w:tcBorders>
            <w:tcW w:w="3402" w:type="dxa"/>
          </w:tcPr>
          <w:p w14:paraId="729C597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321EDD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Anglais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85D73D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431226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Psychologie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EABCF1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034C44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10h CM / 10hTD / 4h PA</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ADBB45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p w14:paraId="69A1B0E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B0C4BF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d9d9d9" w:themeFill="background1" w:themeFillShade="D9"/>
            <w:tcBorders>
              <w:left w:val="single" w:color="000000" w:sz="4" w:space="0"/>
              <w:bottom w:val="single" w:color="000000" w:sz="4" w:space="0"/>
            </w:tcBorders>
            <w:tcW w:w="3402" w:type="dxa"/>
          </w:tcPr>
          <w:p w14:paraId="7EDEC8D4"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d9d9d9" w:themeFill="background1" w:themeFillShade="D9"/>
            <w:tcBorders>
              <w:left w:val="single" w:color="000000" w:sz="4" w:space="0"/>
              <w:bottom w:val="single" w:color="000000" w:sz="4" w:space="0"/>
              <w:right w:val="single" w:color="000000" w:sz="4" w:space="0"/>
            </w:tcBorders>
            <w:tcW w:w="6236" w:type="dxa"/>
          </w:tcPr>
          <w:p w14:paraId="43CB7709"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305954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obligatoire</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83BFC30" w14:textId="77777777">
            <w:p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F17F11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recommandé</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489AD2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B2</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40F2BD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2"/>
                <w:szCs w:val="20"/>
              </w:rPr>
            </w:pP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510D73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2"/>
                <w:szCs w:val="20"/>
              </w:rPr>
            </w:pP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p>
        </w:tc>
      </w:tr>
      <w:tr>
        <w:trPr/>
        <w:tc>
          <w:tcPr>
            <w:shd w:val="clear" w:color="auto" w:fill="auto"/>
            <w:tcBorders>
              <w:left w:val="single" w:color="000000" w:sz="4" w:space="0"/>
              <w:bottom w:val="single" w:color="000000" w:sz="4" w:space="0"/>
            </w:tcBorders>
            <w:tcW w:w="3402" w:type="dxa"/>
          </w:tcPr>
          <w:p w14:paraId="739B1E9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0F2531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color w:val="000000"/>
                <w:sz w:val="20"/>
              </w:rPr>
              <w:t xml:space="preserve">1 contrôle terminal d’une heure (QCM en 4 parties : Compréhension écrite sur texte inédit / Compréhension écrite sur extrait d’article scientifique / Questions de cours / Questions de grammaire, vocabulaire &amp; traduction)</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r>
    </w:tbl>
    <w:p w14:paraId="24A5AD41" w14:textId="77777777">
      <w:pPr>
        <w:pStyle w:val="1193"/>
        <w:pBdr/>
        <w:tabs>
          <w:tab w:val="left" w:leader="none" w:pos="1287"/>
        </w:tabs>
        <w:spacing/>
        <w:ind w:firstLine="0" w:left="432"/>
        <w:jc w:val="center"/>
        <w:rPr>
          <w:rFonts w:asciiTheme="majorHAnsi" w:hAnsiTheme="majorHAnsi" w:cstheme="majorHAnsi"/>
          <w:b/>
          <w:bCs/>
          <w:color w:val="000000" w:themeColor="text1"/>
        </w:rPr>
      </w:pPr>
      <w:r>
        <w:rPr>
          <w:rFonts w:asciiTheme="majorHAnsi" w:hAnsiTheme="majorHAnsi" w:cstheme="majorHAnsi"/>
          <w:b/>
          <w:bCs/>
          <w:color w:val="000000" w:themeColor="text1"/>
        </w:rPr>
      </w:r>
      <w:r>
        <w:rPr>
          <w:rFonts w:asciiTheme="majorHAnsi" w:hAnsiTheme="majorHAnsi" w:cstheme="majorHAnsi"/>
          <w:b/>
          <w:bCs/>
          <w:color w:val="000000" w:themeColor="text1"/>
        </w:rPr>
      </w:r>
      <w:r>
        <w:rPr>
          <w:rFonts w:asciiTheme="majorHAnsi" w:hAnsiTheme="majorHAnsi" w:cstheme="majorHAnsi"/>
          <w:b/>
          <w:bCs/>
          <w:color w:val="000000" w:themeColor="text1"/>
        </w:rPr>
      </w:r>
    </w:p>
    <w:p w14:paraId="19F1D6AB" w14:textId="6108A699">
      <w:pPr>
        <w:pStyle w:val="973"/>
        <w:keepNext w:val="true"/>
        <w:pBdr>
          <w:bottom w:val="none" w:color="000000" w:sz="0" w:space="1"/>
        </w:pBdr>
        <w:spacing w:after="0" w:before="0"/>
        <w:ind/>
        <w:rPr>
          <w:rFonts w:asciiTheme="majorHAnsi" w:hAnsiTheme="majorHAnsi" w:cstheme="majorHAnsi"/>
          <w:color w:val="000000"/>
          <w:sz w:val="20"/>
          <w:szCs w:val="20"/>
        </w:rPr>
      </w:pPr>
      <w:r>
        <w:rPr>
          <w:rFonts w:asciiTheme="majorHAnsi" w:hAnsiTheme="majorHAnsi" w:cstheme="majorHAnsi"/>
          <w:color w:val="000000"/>
          <w:sz w:val="20"/>
          <w:szCs w:val="20"/>
        </w:rPr>
      </w:r>
      <w:r>
        <w:rPr>
          <w:rFonts w:asciiTheme="majorHAnsi" w:hAnsiTheme="majorHAnsi" w:cstheme="majorHAnsi"/>
          <w:color w:val="000000"/>
          <w:sz w:val="20"/>
          <w:szCs w:val="20"/>
        </w:rPr>
      </w:r>
      <w:r>
        <w:rPr>
          <w:rFonts w:asciiTheme="majorHAnsi" w:hAnsiTheme="majorHAnsi" w:cstheme="majorHAnsi"/>
          <w:color w:val="000000"/>
          <w:sz w:val="20"/>
          <w:szCs w:val="20"/>
        </w:rPr>
      </w:r>
    </w:p>
    <w:p w14:paraId="6F207529" w14:textId="5B24482D">
      <w:pPr>
        <w:pBdr/>
        <w:spacing/>
        <w:ind/>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CB8450A" w14:textId="1D0FB91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br w:type="page" w:clear="all"/>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bl>
      <w:tblPr>
        <w:tblStyle w:val="1165"/>
        <w:tblInd w:w="0" w:type="dxa"/>
        <w:tblW w:w="10836" w:type="dxa"/>
        <w:tblBorders/>
        <w:tblLayout w:type="fixed"/>
        <w:tblpPr w:horzAnchor="margin" w:tblpXSpec="center" w:vertAnchor="page" w:tblpY="871" w:leftFromText="141" w:topFromText="0" w:rightFromText="141" w:bottomFromText="0"/>
        <w:tblLook w:val="0000" w:firstRow="0" w:lastRow="0" w:firstColumn="0" w:lastColumn="0" w:noHBand="0" w:noVBand="0"/>
      </w:tblPr>
      <w:tblGrid>
        <w:gridCol w:w="3825"/>
        <w:gridCol w:w="7011"/>
      </w:tblGrid>
      <w:tr>
        <w:trPr>
          <w:trHeight w:val="297"/>
        </w:trPr>
        <w:tc>
          <w:tcPr>
            <w:shd w:val="clear" w:color="auto" w:fill="e6e6e6"/>
            <w:tcBorders>
              <w:top w:val="single" w:color="000000" w:sz="4" w:space="0"/>
              <w:left w:val="single" w:color="000000" w:sz="4" w:space="0"/>
              <w:bottom w:val="single" w:color="000000" w:sz="4" w:space="0"/>
            </w:tcBorders>
            <w:tcW w:w="3825" w:type="dxa"/>
          </w:tcPr>
          <w:p w14:paraId="788B7D31"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7011" w:type="dxa"/>
          </w:tcPr>
          <w:p w14:paraId="1A4EA6E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56"/>
        </w:trPr>
        <w:tc>
          <w:tcPr>
            <w:shd w:val="clear" w:color="auto" w:fill="auto"/>
            <w:tcBorders>
              <w:left w:val="single" w:color="000000" w:sz="4" w:space="0"/>
              <w:bottom w:val="single" w:color="000000" w:sz="4" w:space="0"/>
            </w:tcBorders>
            <w:tcW w:w="3825" w:type="dxa"/>
          </w:tcPr>
          <w:p w14:paraId="3F31C19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7011" w:type="dxa"/>
          </w:tcPr>
          <w:p w14:paraId="72DC2BF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HPS6U36</w:t>
            </w:r>
            <w:r>
              <w:rPr>
                <w:rFonts w:eastAsia="Liberation Sans" w:asciiTheme="majorHAnsi" w:hAnsiTheme="majorHAnsi" w:cstheme="majorHAnsi"/>
                <w:b/>
                <w:color w:val="000000" w:themeColor="text1"/>
                <w:sz w:val="20"/>
                <w:szCs w:val="20"/>
                <w:highlight w:val="yellow"/>
              </w:rPr>
            </w:r>
            <w:r>
              <w:rPr>
                <w:rFonts w:eastAsia="Liberation Sans" w:asciiTheme="majorHAnsi" w:hAnsiTheme="majorHAnsi" w:cstheme="majorHAnsi"/>
                <w:b/>
                <w:color w:val="000000" w:themeColor="text1"/>
                <w:sz w:val="20"/>
                <w:szCs w:val="20"/>
                <w:highlight w:val="yellow"/>
              </w:rPr>
            </w:r>
          </w:p>
        </w:tc>
      </w:tr>
      <w:tr>
        <w:trPr>
          <w:trHeight w:val="280"/>
        </w:trPr>
        <w:tc>
          <w:tcPr>
            <w:shd w:val="clear" w:color="auto" w:fill="auto"/>
            <w:tcBorders>
              <w:left w:val="single" w:color="000000" w:sz="4" w:space="0"/>
              <w:bottom w:val="single" w:color="000000" w:sz="4" w:space="0"/>
            </w:tcBorders>
            <w:tcW w:w="3825" w:type="dxa"/>
          </w:tcPr>
          <w:p w14:paraId="194D42D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7011" w:type="dxa"/>
          </w:tcPr>
          <w:p w14:paraId="440ABE8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Méthode d’évaluation psychologique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rHeight w:val="297"/>
        </w:trPr>
        <w:tc>
          <w:tcPr>
            <w:shd w:val="clear" w:color="auto" w:fill="auto"/>
            <w:tcBorders>
              <w:top w:val="single" w:color="000000" w:sz="4" w:space="0"/>
              <w:left w:val="single" w:color="000000" w:sz="4" w:space="0"/>
              <w:bottom w:val="single" w:color="000000" w:sz="4" w:space="0"/>
            </w:tcBorders>
            <w:tcW w:w="3825" w:type="dxa"/>
          </w:tcPr>
          <w:p w14:paraId="518B495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011" w:type="dxa"/>
          </w:tcPr>
          <w:p w14:paraId="67891A8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ascii="Calibri Light" w:hAnsi="Calibri Light" w:eastAsia="Calibri Light" w:cs="Calibri Light"/>
                <w:color w:val="000000"/>
                <w:sz w:val="20"/>
              </w:rPr>
              <w:t xml:space="preserve">Examen psychologique, Bilan psychologique, Auto et hétéroévaluation, Pratiques de l’évaluation, Code de déontologie des psychologues, Usage des tests psychologiques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rHeight w:val="858"/>
        </w:trPr>
        <w:tc>
          <w:tcPr>
            <w:shd w:val="clear" w:color="auto" w:fill="auto"/>
            <w:tcBorders>
              <w:top w:val="single" w:color="000000" w:sz="4" w:space="0"/>
              <w:left w:val="single" w:color="000000" w:sz="4" w:space="0"/>
              <w:bottom w:val="single" w:color="000000" w:sz="4" w:space="0"/>
            </w:tcBorders>
            <w:tcW w:w="3825" w:type="dxa"/>
          </w:tcPr>
          <w:p w14:paraId="3BD38A1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011" w:type="dxa"/>
          </w:tcPr>
          <w:p w14:paraId="3D6582F3" w14:textId="77777777">
            <w:pPr>
              <w:pBdr>
                <w:top w:val="none" w:color="000000" w:sz="4" w:space="0"/>
                <w:left w:val="none" w:color="000000" w:sz="4" w:space="0"/>
                <w:bottom w:val="none" w:color="000000" w:sz="4" w:space="0"/>
                <w:right w:val="none" w:color="000000" w:sz="4" w:space="0"/>
              </w:pBdr>
              <w:spacing/>
              <w:ind w:firstLine="0"/>
              <w:rPr>
                <w:rFonts w:ascii="Calibri Light" w:hAnsi="Calibri Light" w:eastAsia="Calibri Light" w:cs="Calibri Light"/>
                <w:color w:val="000000"/>
                <w:sz w:val="20"/>
                <w:szCs w:val="20"/>
              </w:rPr>
            </w:pPr>
            <w:r>
              <w:rPr>
                <w:rFonts w:ascii="Calibri Light" w:hAnsi="Calibri Light" w:eastAsia="Calibri Light" w:cs="Calibri Light"/>
                <w:color w:val="000000"/>
                <w:sz w:val="20"/>
              </w:rPr>
              <w:t xml:space="preserve">La pratique du bilan psychologique : généralités, spécificités, conduites professionnelles et le code de déontologie des psychologues</w:t>
            </w:r>
            <w:r>
              <w:rPr>
                <w:rFonts w:ascii="Calibri Light" w:hAnsi="Calibri Light" w:eastAsia="Calibri Light" w:cs="Calibri Light"/>
                <w:color w:val="000000"/>
                <w:sz w:val="20"/>
                <w:szCs w:val="20"/>
              </w:rPr>
            </w:r>
            <w:r>
              <w:rPr>
                <w:rFonts w:ascii="Calibri Light" w:hAnsi="Calibri Light" w:eastAsia="Calibri Light" w:cs="Calibri Light"/>
                <w:color w:val="000000"/>
                <w:sz w:val="20"/>
                <w:szCs w:val="20"/>
              </w:rPr>
            </w:r>
          </w:p>
          <w:p w14:paraId="7A5D8202" w14:textId="77777777">
            <w:pPr>
              <w:pBdr>
                <w:top w:val="none" w:color="000000" w:sz="4" w:space="0"/>
                <w:left w:val="none" w:color="000000" w:sz="4" w:space="0"/>
                <w:bottom w:val="none" w:color="000000" w:sz="4" w:space="0"/>
                <w:right w:val="none" w:color="000000" w:sz="4" w:space="0"/>
              </w:pBdr>
              <w:spacing/>
              <w:ind w:firstLine="0"/>
              <w:rPr>
                <w:rFonts w:ascii="Calibri Light" w:hAnsi="Calibri Light" w:eastAsia="Calibri Light" w:cs="Calibri Light"/>
                <w:color w:val="000000"/>
                <w:sz w:val="20"/>
                <w:szCs w:val="20"/>
              </w:rPr>
            </w:pPr>
            <w:r>
              <w:rPr>
                <w:rFonts w:ascii="Calibri Light" w:hAnsi="Calibri Light" w:eastAsia="Calibri Light" w:cs="Calibri Light"/>
                <w:color w:val="000000"/>
                <w:sz w:val="20"/>
                <w:szCs w:val="20"/>
              </w:rPr>
              <w:t xml:space="preserve">L’hétéroévaluation : principes, méthodologies et outils</w:t>
            </w:r>
            <w:r>
              <w:rPr>
                <w:rFonts w:ascii="Calibri Light" w:hAnsi="Calibri Light" w:eastAsia="Calibri Light" w:cs="Calibri Light"/>
                <w:color w:val="000000"/>
                <w:sz w:val="20"/>
                <w:szCs w:val="20"/>
              </w:rPr>
            </w:r>
            <w:r>
              <w:rPr>
                <w:rFonts w:ascii="Calibri Light" w:hAnsi="Calibri Light" w:eastAsia="Calibri Light" w:cs="Calibri Light"/>
                <w:color w:val="000000"/>
                <w:sz w:val="20"/>
                <w:szCs w:val="20"/>
              </w:rPr>
            </w:r>
          </w:p>
          <w:p w14:paraId="70518FD8" w14:textId="77777777">
            <w:pPr>
              <w:pBdr>
                <w:top w:val="none" w:color="000000" w:sz="4" w:space="0"/>
                <w:left w:val="none" w:color="000000" w:sz="4" w:space="0"/>
                <w:bottom w:val="none" w:color="000000" w:sz="4" w:space="0"/>
                <w:right w:val="none" w:color="000000" w:sz="4" w:space="0"/>
              </w:pBdr>
              <w:spacing/>
              <w:ind w:firstLine="0"/>
              <w:rPr/>
            </w:pPr>
            <w:r>
              <w:rPr>
                <w:rFonts w:ascii="Calibri Light" w:hAnsi="Calibri Light" w:eastAsia="Calibri Light" w:cs="Calibri Light"/>
                <w:color w:val="000000"/>
                <w:sz w:val="20"/>
                <w:szCs w:val="20"/>
              </w:rPr>
              <w:t xml:space="preserve">Le contenu d’un manuel de test et sa validité scientifique.</w:t>
            </w:r>
            <w:r/>
          </w:p>
        </w:tc>
      </w:tr>
      <w:tr>
        <w:trPr>
          <w:trHeight w:val="280"/>
        </w:trPr>
        <w:tc>
          <w:tcPr>
            <w:shd w:val="clear" w:color="auto" w:fill="auto"/>
            <w:tcBorders>
              <w:top w:val="single" w:color="000000" w:sz="4" w:space="0"/>
              <w:left w:val="single" w:color="000000" w:sz="4" w:space="0"/>
              <w:bottom w:val="single" w:color="000000" w:sz="4" w:space="0"/>
            </w:tcBorders>
            <w:tcW w:w="3825" w:type="dxa"/>
          </w:tcPr>
          <w:p w14:paraId="4AC82C8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7011" w:type="dxa"/>
          </w:tcPr>
          <w:p w14:paraId="7C61CA07" w14:textId="77777777">
            <w:pPr>
              <w:pBdr/>
              <w:spacing/>
              <w:ind w:firstLine="0"/>
              <w:rPr>
                <w:rFonts w:eastAsia="Verdana" w:asciiTheme="majorHAnsi" w:hAnsiTheme="majorHAnsi" w:cstheme="majorHAnsi"/>
                <w:color w:val="000000" w:themeColor="text1"/>
                <w:sz w:val="20"/>
                <w:szCs w:val="20"/>
              </w:rPr>
            </w:pPr>
            <w:r>
              <w:rPr>
                <w:rFonts w:eastAsia="Verdana" w:asciiTheme="majorHAnsi" w:hAnsiTheme="majorHAnsi" w:cstheme="majorHAnsi"/>
                <w:color w:val="000000" w:themeColor="text1"/>
                <w:sz w:val="20"/>
                <w:szCs w:val="20"/>
              </w:rPr>
              <w:t xml:space="preserve">3 ECTS</w:t>
            </w:r>
            <w:r>
              <w:rPr>
                <w:rFonts w:eastAsia="Verdana" w:asciiTheme="majorHAnsi" w:hAnsiTheme="majorHAnsi" w:cstheme="majorHAnsi"/>
                <w:color w:val="000000" w:themeColor="text1"/>
                <w:sz w:val="20"/>
                <w:szCs w:val="20"/>
              </w:rPr>
            </w:r>
            <w:r>
              <w:rPr>
                <w:rFonts w:eastAsia="Verdana" w:asciiTheme="majorHAnsi" w:hAnsiTheme="majorHAnsi" w:cstheme="majorHAnsi"/>
                <w:color w:val="000000" w:themeColor="text1"/>
                <w:sz w:val="20"/>
                <w:szCs w:val="20"/>
              </w:rPr>
            </w:r>
          </w:p>
        </w:tc>
      </w:tr>
      <w:tr>
        <w:trPr>
          <w:trHeight w:val="297"/>
        </w:trPr>
        <w:tc>
          <w:tcPr>
            <w:shd w:val="clear" w:color="auto" w:fill="e6e6e6"/>
            <w:tcBorders>
              <w:top w:val="single" w:color="000000" w:sz="4" w:space="0"/>
              <w:left w:val="single" w:color="000000" w:sz="4" w:space="0"/>
              <w:bottom w:val="single" w:color="000000" w:sz="4" w:space="0"/>
            </w:tcBorders>
            <w:tcW w:w="3825" w:type="dxa"/>
          </w:tcPr>
          <w:p w14:paraId="13C7C03A"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7011" w:type="dxa"/>
          </w:tcPr>
          <w:p w14:paraId="712624E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1997"/>
        </w:trPr>
        <w:tc>
          <w:tcPr>
            <w:shd w:val="clear" w:color="auto" w:fill="auto"/>
            <w:tcBorders>
              <w:left w:val="single" w:color="000000" w:sz="4" w:space="0"/>
              <w:bottom w:val="single" w:color="000000" w:sz="4" w:space="0"/>
            </w:tcBorders>
            <w:tcW w:w="3825" w:type="dxa"/>
          </w:tcPr>
          <w:p w14:paraId="7D96AC5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7011" w:type="dxa"/>
          </w:tcPr>
          <w:p w14:paraId="185DC339" w14:textId="77777777">
            <w:pPr>
              <w:pBdr>
                <w:top w:val="none" w:color="000000" w:sz="4" w:space="0"/>
                <w:left w:val="none" w:color="000000" w:sz="4" w:space="0"/>
                <w:bottom w:val="none" w:color="000000" w:sz="4" w:space="0"/>
                <w:right w:val="none" w:color="000000" w:sz="4" w:space="0"/>
              </w:pBdr>
              <w:spacing/>
              <w:ind w:firstLine="0"/>
              <w:rPr/>
            </w:pPr>
            <w:r>
              <w:rPr>
                <w:rFonts w:ascii="Calibri Light" w:hAnsi="Calibri Light" w:eastAsia="Calibri Light" w:cs="Calibri Light"/>
                <w:color w:val="000000"/>
                <w:sz w:val="20"/>
              </w:rPr>
              <w:t xml:space="preserve">Percevoir les compétences multiples qu’un psychologue doit mobiliser dans le cadre de la pratique d’un bilan psychologique et pouvoir en rendre compte</w:t>
            </w:r>
            <w:r/>
          </w:p>
          <w:p w14:paraId="601717E1" w14:textId="77777777">
            <w:pPr>
              <w:pBdr>
                <w:top w:val="none" w:color="000000" w:sz="4" w:space="0"/>
                <w:left w:val="none" w:color="000000" w:sz="4" w:space="0"/>
                <w:bottom w:val="none" w:color="000000" w:sz="4" w:space="0"/>
                <w:right w:val="none" w:color="000000" w:sz="4" w:space="0"/>
              </w:pBdr>
              <w:spacing/>
              <w:ind w:firstLine="0"/>
              <w:rPr/>
            </w:pPr>
            <w:r>
              <w:rPr>
                <w:rFonts w:ascii="Calibri Light" w:hAnsi="Calibri Light" w:eastAsia="Calibri Light" w:cs="Calibri Light"/>
                <w:color w:val="000000"/>
                <w:sz w:val="20"/>
              </w:rPr>
              <w:t xml:space="preserve">Caractériser les différentes étapes du bilan psychologique et en connaitre les spécificités</w:t>
            </w:r>
            <w:r/>
          </w:p>
          <w:p w14:paraId="70FBF916" w14:textId="77777777">
            <w:pPr>
              <w:pBdr>
                <w:top w:val="none" w:color="000000" w:sz="4" w:space="0"/>
                <w:left w:val="none" w:color="000000" w:sz="4" w:space="0"/>
                <w:bottom w:val="none" w:color="000000" w:sz="4" w:space="0"/>
                <w:right w:val="none" w:color="000000" w:sz="4" w:space="0"/>
              </w:pBdr>
              <w:spacing/>
              <w:ind w:firstLine="0"/>
              <w:rPr/>
            </w:pPr>
            <w:r>
              <w:rPr>
                <w:rFonts w:ascii="Calibri Light" w:hAnsi="Calibri Light" w:eastAsia="Calibri Light" w:cs="Calibri Light"/>
                <w:color w:val="000000"/>
                <w:sz w:val="20"/>
              </w:rPr>
              <w:t xml:space="preserve">Comprendre les informations contenues dans un manuel de test, en apprécier le champ d’application et en proposer une analyse critique</w:t>
            </w:r>
            <w:r/>
          </w:p>
          <w:p w14:paraId="0D8FC5D8" w14:textId="77777777">
            <w:pPr>
              <w:pBdr>
                <w:top w:val="none" w:color="000000" w:sz="4" w:space="0"/>
                <w:left w:val="none" w:color="000000" w:sz="4" w:space="0"/>
                <w:bottom w:val="none" w:color="000000" w:sz="4" w:space="0"/>
                <w:right w:val="none" w:color="000000" w:sz="4" w:space="0"/>
              </w:pBdr>
              <w:spacing/>
              <w:ind w:firstLine="0"/>
              <w:rPr/>
            </w:pPr>
            <w:r>
              <w:rPr>
                <w:rFonts w:ascii="Calibri Light" w:hAnsi="Calibri Light" w:eastAsia="Calibri Light" w:cs="Calibri Light"/>
                <w:color w:val="000000"/>
                <w:sz w:val="20"/>
              </w:rPr>
              <w:t xml:space="preserve">Situer la place de la mesure dans le cadre de la pratique du bilan psychologique</w:t>
            </w:r>
            <w:r/>
          </w:p>
          <w:p w14:paraId="5FA5A4E4" w14:textId="77777777">
            <w:pPr>
              <w:pBdr>
                <w:top w:val="none" w:color="000000" w:sz="4" w:space="0"/>
                <w:left w:val="none" w:color="000000" w:sz="4" w:space="0"/>
                <w:bottom w:val="none" w:color="000000" w:sz="4" w:space="0"/>
                <w:right w:val="none" w:color="000000" w:sz="4" w:space="0"/>
              </w:pBdr>
              <w:spacing/>
              <w:ind w:firstLine="0"/>
              <w:rPr/>
            </w:pPr>
            <w:r>
              <w:rPr>
                <w:rFonts w:ascii="Calibri Light" w:hAnsi="Calibri Light" w:eastAsia="Calibri Light" w:cs="Calibri Light"/>
                <w:color w:val="000000"/>
                <w:sz w:val="20"/>
              </w:rPr>
              <w:t xml:space="preserve">Caractériser les spécificités méthodologiques des outils d’hétéroévaluation</w:t>
            </w:r>
            <w:r/>
          </w:p>
          <w:p w14:paraId="70B3AC39" w14:textId="77777777">
            <w:pPr>
              <w:pBdr>
                <w:top w:val="none" w:color="000000" w:sz="4" w:space="0"/>
                <w:left w:val="none" w:color="000000" w:sz="4" w:space="0"/>
                <w:bottom w:val="none" w:color="000000" w:sz="4" w:space="0"/>
                <w:right w:val="none" w:color="000000" w:sz="4" w:space="0"/>
              </w:pBdr>
              <w:spacing/>
              <w:ind w:firstLine="0"/>
              <w:jc w:val="both"/>
              <w:rPr/>
            </w:pPr>
            <w:r>
              <w:rPr>
                <w:rFonts w:ascii="Calibri Light" w:hAnsi="Calibri Light" w:eastAsia="Calibri Light" w:cs="Calibri Light"/>
                <w:color w:val="000000"/>
                <w:sz w:val="20"/>
              </w:rPr>
              <w:t xml:space="preserve">Préciser l’identité professionnelle du psychologue.</w:t>
            </w:r>
            <w:r/>
          </w:p>
          <w:p w14:paraId="37E2E80A" w14:textId="77777777">
            <w:pPr>
              <w:pBdr>
                <w:top w:val="none" w:color="000000" w:sz="4" w:space="0"/>
                <w:left w:val="none" w:color="000000" w:sz="4" w:space="0"/>
                <w:bottom w:val="none" w:color="000000" w:sz="4" w:space="0"/>
                <w:right w:val="none" w:color="000000" w:sz="4" w:space="0"/>
              </w:pBdr>
              <w:spacing/>
              <w:ind w:firstLine="0"/>
              <w:jc w:val="both"/>
              <w:rPr/>
            </w:pPr>
            <w:r>
              <w:rPr>
                <w:rFonts w:ascii="Calibri Light" w:hAnsi="Calibri Light" w:eastAsia="Calibri Light" w:cs="Calibri Light"/>
                <w:color w:val="000000"/>
                <w:sz w:val="20"/>
              </w:rPr>
              <w:t xml:space="preserve">Connaissance du code de déontologie des psychologues et des enjeux de sa réglementation en lien avec la pratique du bilan psychologique</w:t>
            </w:r>
            <w:r/>
          </w:p>
          <w:p w14:paraId="16EC9FAD" w14:textId="77777777">
            <w:pPr>
              <w:pBdr>
                <w:top w:val="none" w:color="000000" w:sz="4" w:space="0"/>
                <w:left w:val="none" w:color="000000" w:sz="4" w:space="0"/>
                <w:bottom w:val="none" w:color="000000" w:sz="4" w:space="0"/>
                <w:right w:val="none" w:color="000000" w:sz="4" w:space="0"/>
              </w:pBdr>
              <w:spacing/>
              <w:ind w:firstLine="0"/>
              <w:jc w:val="both"/>
              <w:rPr/>
            </w:pPr>
            <w:r>
              <w:rPr>
                <w:rFonts w:ascii="Calibri Light" w:hAnsi="Calibri Light" w:eastAsia="Calibri Light" w:cs="Calibri Light"/>
                <w:color w:val="000000"/>
                <w:sz w:val="20"/>
              </w:rPr>
              <w:t xml:space="preserve">Caractériser et situer les enjeux relationnels, institutionnels et sociétaux liés à l’utilisation des résultats d’une évaluation psychologique</w:t>
            </w:r>
            <w:r/>
          </w:p>
        </w:tc>
      </w:tr>
      <w:tr>
        <w:trPr>
          <w:trHeight w:val="280"/>
        </w:trPr>
        <w:tc>
          <w:tcPr>
            <w:shd w:val="clear" w:color="auto" w:fill="e6e6e6"/>
            <w:tcBorders>
              <w:top w:val="single" w:color="000000" w:sz="4" w:space="0"/>
              <w:left w:val="single" w:color="000000" w:sz="4" w:space="0"/>
              <w:bottom w:val="single" w:color="000000" w:sz="4" w:space="0"/>
            </w:tcBorders>
            <w:tcW w:w="3825" w:type="dxa"/>
          </w:tcPr>
          <w:p w14:paraId="0882BC8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7011" w:type="dxa"/>
          </w:tcPr>
          <w:p w14:paraId="1A86661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80"/>
        </w:trPr>
        <w:tc>
          <w:tcPr>
            <w:shd w:val="clear" w:color="auto" w:fill="auto"/>
            <w:tcBorders>
              <w:left w:val="single" w:color="000000" w:sz="4" w:space="0"/>
              <w:bottom w:val="single" w:color="000000" w:sz="4" w:space="0"/>
            </w:tcBorders>
            <w:tcW w:w="3825" w:type="dxa"/>
          </w:tcPr>
          <w:p w14:paraId="0CAA084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7011" w:type="dxa"/>
          </w:tcPr>
          <w:p w14:paraId="720C195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Hélène </w:t>
            </w:r>
            <w:r>
              <w:rPr>
                <w:rFonts w:eastAsia="Liberation Sans" w:asciiTheme="majorHAnsi" w:hAnsiTheme="majorHAnsi" w:cstheme="majorHAnsi"/>
                <w:color w:val="000000" w:themeColor="text1"/>
                <w:sz w:val="20"/>
                <w:szCs w:val="20"/>
              </w:rPr>
              <w:t xml:space="preserve">Wilquin</w:t>
            </w:r>
            <w:r>
              <w:rPr>
                <w:rFonts w:eastAsia="Liberation Sans" w:asciiTheme="majorHAnsi" w:hAnsiTheme="majorHAnsi" w:cstheme="majorHAnsi"/>
                <w:color w:val="000000" w:themeColor="text1"/>
                <w:sz w:val="20"/>
                <w:szCs w:val="20"/>
              </w:rPr>
              <w:t xml:space="preserve"> &amp; Nathalie Prudhomme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rHeight w:val="280"/>
        </w:trPr>
        <w:tc>
          <w:tcPr>
            <w:shd w:val="clear" w:color="auto" w:fill="auto"/>
            <w:tcBorders>
              <w:left w:val="single" w:color="000000" w:sz="4" w:space="0"/>
              <w:bottom w:val="single" w:color="000000" w:sz="4" w:space="0"/>
            </w:tcBorders>
            <w:tcW w:w="3825" w:type="dxa"/>
          </w:tcPr>
          <w:p w14:paraId="0275DE6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7011" w:type="dxa"/>
          </w:tcPr>
          <w:p w14:paraId="7EE0D95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bCs/>
                <w:color w:val="000000" w:themeColor="text1"/>
                <w:sz w:val="20"/>
                <w:szCs w:val="20"/>
              </w:rPr>
            </w:pPr>
            <w:r>
              <w:rPr>
                <w:rFonts w:ascii="Calibri Light" w:hAnsi="Calibri Light" w:eastAsia="Calibri Light" w:cs="Calibri Light"/>
                <w:color w:val="000000"/>
                <w:sz w:val="20"/>
              </w:rPr>
              <w:t xml:space="preserve">Nathalie Prudhomme, Hélène </w:t>
            </w:r>
            <w:r>
              <w:rPr>
                <w:rFonts w:ascii="Calibri Light" w:hAnsi="Calibri Light" w:eastAsia="Calibri Light" w:cs="Calibri Light"/>
                <w:color w:val="000000"/>
                <w:sz w:val="20"/>
              </w:rPr>
              <w:t xml:space="preserve">Wilquin, Anne Pignault, Lyse Michel</w:t>
            </w:r>
            <w:r>
              <w:rPr>
                <w:rFonts w:ascii="Calibri Light" w:hAnsi="Calibri Light" w:eastAsia="Calibri Light" w:cs="Calibri Light"/>
                <w:color w:val="000000"/>
                <w:sz w:val="20"/>
              </w:rPr>
              <w:t xml:space="preserve"> et chargés de cours</w:t>
            </w:r>
            <w:r>
              <w:rPr>
                <w:rFonts w:eastAsia="Liberation Sans" w:asciiTheme="majorHAnsi" w:hAnsiTheme="majorHAnsi" w:cstheme="majorHAnsi"/>
                <w:b/>
                <w:bCs/>
                <w:color w:val="000000" w:themeColor="text1"/>
                <w:sz w:val="20"/>
                <w:szCs w:val="20"/>
              </w:rPr>
            </w:r>
            <w:r>
              <w:rPr>
                <w:rFonts w:eastAsia="Liberation Sans" w:asciiTheme="majorHAnsi" w:hAnsiTheme="majorHAnsi" w:cstheme="majorHAnsi"/>
                <w:b/>
                <w:bCs/>
                <w:color w:val="000000" w:themeColor="text1"/>
                <w:sz w:val="20"/>
                <w:szCs w:val="20"/>
              </w:rPr>
            </w:r>
          </w:p>
        </w:tc>
      </w:tr>
      <w:tr>
        <w:trPr>
          <w:trHeight w:val="280"/>
        </w:trPr>
        <w:tc>
          <w:tcPr>
            <w:shd w:val="clear" w:color="auto" w:fill="auto"/>
            <w:tcBorders>
              <w:left w:val="single" w:color="000000" w:sz="4" w:space="0"/>
              <w:bottom w:val="single" w:color="000000" w:sz="4" w:space="0"/>
            </w:tcBorders>
            <w:tcW w:w="3825" w:type="dxa"/>
          </w:tcPr>
          <w:p w14:paraId="5CEF0C3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7011" w:type="dxa"/>
          </w:tcPr>
          <w:p w14:paraId="59B4F02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rHeight w:val="280"/>
        </w:trPr>
        <w:tc>
          <w:tcPr>
            <w:shd w:val="clear" w:color="auto" w:fill="auto"/>
            <w:tcBorders>
              <w:left w:val="single" w:color="000000" w:sz="4" w:space="0"/>
              <w:bottom w:val="single" w:color="000000" w:sz="4" w:space="0"/>
            </w:tcBorders>
            <w:tcW w:w="3825" w:type="dxa"/>
          </w:tcPr>
          <w:p w14:paraId="2403BF5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7011" w:type="dxa"/>
          </w:tcPr>
          <w:p w14:paraId="3ED14F1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ascii="Calibri Light" w:hAnsi="Calibri Light" w:eastAsia="Calibri Light" w:cs="Calibri Light"/>
                <w:color w:val="000000"/>
                <w:sz w:val="20"/>
              </w:rPr>
              <w:t xml:space="preserve">Enseignement magistral, Présentation et entrainement à l’administration de différents tests psychologiques en petits groupes, pédagogie active sur </w:t>
            </w:r>
            <w:r>
              <w:rPr>
                <w:rFonts w:ascii="Calibri Light" w:hAnsi="Calibri Light" w:eastAsia="Calibri Light" w:cs="Calibri Light"/>
                <w:color w:val="000000"/>
                <w:sz w:val="20"/>
              </w:rPr>
              <w:t xml:space="preserve">Ametice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rHeight w:val="280"/>
        </w:trPr>
        <w:tc>
          <w:tcPr>
            <w:shd w:val="clear" w:color="auto" w:fill="e6e6e6"/>
            <w:tcBorders>
              <w:top w:val="single" w:color="000000" w:sz="4" w:space="0"/>
              <w:left w:val="single" w:color="000000" w:sz="4" w:space="0"/>
              <w:bottom w:val="single" w:color="000000" w:sz="4" w:space="0"/>
            </w:tcBorders>
            <w:tcW w:w="3825" w:type="dxa"/>
          </w:tcPr>
          <w:p w14:paraId="27E8FC3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7011" w:type="dxa"/>
          </w:tcPr>
          <w:p w14:paraId="3020381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80"/>
        </w:trPr>
        <w:tc>
          <w:tcPr>
            <w:shd w:val="clear" w:color="auto" w:fill="auto"/>
            <w:tcBorders>
              <w:left w:val="single" w:color="000000" w:sz="4" w:space="0"/>
              <w:bottom w:val="single" w:color="000000" w:sz="4" w:space="0"/>
            </w:tcBorders>
            <w:tcW w:w="3825" w:type="dxa"/>
          </w:tcPr>
          <w:p w14:paraId="1C8E67F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7011" w:type="dxa"/>
          </w:tcPr>
          <w:p w14:paraId="1E37FB2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Psychologie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rHeight w:val="280"/>
        </w:trPr>
        <w:tc>
          <w:tcPr>
            <w:shd w:val="clear" w:color="auto" w:fill="auto"/>
            <w:tcBorders>
              <w:left w:val="single" w:color="000000" w:sz="4" w:space="0"/>
              <w:bottom w:val="single" w:color="000000" w:sz="4" w:space="0"/>
            </w:tcBorders>
            <w:tcW w:w="3825" w:type="dxa"/>
          </w:tcPr>
          <w:p w14:paraId="603202F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7011" w:type="dxa"/>
          </w:tcPr>
          <w:p w14:paraId="79A849A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12h CM et 12h TD</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rHeight w:val="280"/>
        </w:trPr>
        <w:tc>
          <w:tcPr>
            <w:shd w:val="clear" w:color="auto" w:fill="auto"/>
            <w:tcBorders>
              <w:left w:val="single" w:color="000000" w:sz="4" w:space="0"/>
              <w:bottom w:val="single" w:color="000000" w:sz="4" w:space="0"/>
            </w:tcBorders>
            <w:tcW w:w="3825" w:type="dxa"/>
          </w:tcPr>
          <w:p w14:paraId="44FA2A5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7011" w:type="dxa"/>
          </w:tcPr>
          <w:tbl>
            <w:tblPr>
              <w:tblStyle w:val="1019"/>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011"/>
            </w:tblGrid>
            <w:tr>
              <w:trPr/>
              <w:tc>
                <w:tcPr>
                  <w:tcBorders>
                    <w:top w:val="none" w:color="000000" w:sz="4" w:space="0"/>
                    <w:left w:val="none" w:color="000000" w:sz="4" w:space="0"/>
                    <w:bottom w:val="none" w:color="000000" w:sz="4" w:space="0"/>
                    <w:right w:val="none" w:color="000000" w:sz="4" w:space="0"/>
                  </w:tcBorders>
                  <w:tcMar>
                    <w:left w:w="141" w:type="dxa"/>
                    <w:top w:w="0" w:type="dxa"/>
                    <w:right w:w="141" w:type="dxa"/>
                    <w:bottom w:w="0" w:type="dxa"/>
                  </w:tcMar>
                  <w:tcW w:w="7011" w:type="dxa"/>
                </w:tcPr>
                <w:p w14:paraId="4C382E51" w14:textId="77777777">
                  <w:pPr>
                    <w:framePr w:hAnchor="margin" w:hSpace="141" w:vAnchor="page" w:wrap="around" w:xAlign="center" w:y="871"/>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eastAsia="Calibri Light" w:cs="Calibri Light"/>
                      <w:color w:val="000000"/>
                      <w:sz w:val="20"/>
                      <w:szCs w:val="20"/>
                    </w:rPr>
                  </w:pPr>
                  <w:r>
                    <w:rPr>
                      <w:rFonts w:ascii="Calibri Light" w:hAnsi="Calibri Light" w:eastAsia="Calibri Light" w:cs="Calibri Light"/>
                      <w:color w:val="000000"/>
                      <w:sz w:val="20"/>
                    </w:rPr>
                    <w:t xml:space="preserve">Castro, D. (2016). Pratique De L'examen Psychologique En Clinique Adulte - 3E </w:t>
                  </w:r>
                  <w:r>
                    <w:rPr>
                      <w:rFonts w:ascii="Calibri Light" w:hAnsi="Calibri Light" w:eastAsia="Calibri Light" w:cs="Calibri Light"/>
                      <w:color w:val="000000"/>
                      <w:sz w:val="20"/>
                    </w:rPr>
                    <w:t xml:space="preserve">Ed:</w:t>
                  </w:r>
                  <w:r>
                    <w:rPr>
                      <w:rFonts w:ascii="Calibri Light" w:hAnsi="Calibri Light" w:eastAsia="Calibri Light" w:cs="Calibri Light"/>
                      <w:color w:val="000000"/>
                      <w:sz w:val="20"/>
                    </w:rPr>
                    <w:t xml:space="preserve"> Approches Intégratives. Dunod</w:t>
                  </w:r>
                  <w:r>
                    <w:rPr>
                      <w:rFonts w:ascii="Calibri Light" w:hAnsi="Calibri Light" w:eastAsia="Calibri Light" w:cs="Calibri Light"/>
                      <w:color w:val="000000"/>
                      <w:sz w:val="20"/>
                      <w:szCs w:val="20"/>
                    </w:rPr>
                  </w:r>
                  <w:r>
                    <w:rPr>
                      <w:rFonts w:ascii="Calibri Light" w:hAnsi="Calibri Light" w:eastAsia="Calibri Light" w:cs="Calibri Light"/>
                      <w:color w:val="000000"/>
                      <w:sz w:val="20"/>
                      <w:szCs w:val="20"/>
                    </w:rPr>
                  </w:r>
                </w:p>
                <w:p w14:paraId="2255AEEC" w14:textId="77777777">
                  <w:pPr>
                    <w:framePr w:hAnchor="margin" w:hSpace="141" w:vAnchor="page" w:wrap="around" w:xAlign="center" w:y="871"/>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L’examen psychologique et l’utilisation des mesures en psychologie de l’enfant. Conférence de consensus 2008-2010. Bulletin de psychologie, (1), 65-71</w:t>
                  </w:r>
                  <w:r/>
                </w:p>
                <w:p w14:paraId="4C2450E0" w14:textId="77777777">
                  <w:pPr>
                    <w:framePr w:hAnchor="margin" w:hSpace="141" w:vAnchor="page" w:wrap="around" w:xAlign="center" w:y="871"/>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Grégoire, J. (2023). Evaluer l’intelligence : WPPSI-IV, WAIS, WISC-V, NEMI-3, WNV, </w:t>
                  </w:r>
                  <w:r>
                    <w:rPr>
                      <w:rFonts w:ascii="Calibri Light" w:hAnsi="Calibri Light" w:eastAsia="Calibri Light" w:cs="Calibri Light"/>
                      <w:color w:val="000000"/>
                      <w:sz w:val="20"/>
                    </w:rPr>
                    <w:t xml:space="preserve">RAVEN's</w:t>
                  </w:r>
                  <w:r>
                    <w:rPr>
                      <w:rFonts w:ascii="Calibri Light" w:hAnsi="Calibri Light" w:eastAsia="Calibri Light" w:cs="Calibri Light"/>
                      <w:color w:val="000000"/>
                      <w:sz w:val="20"/>
                    </w:rPr>
                    <w:t xml:space="preserve"> 2, KABC-II et SON-R. De Boeck Supérieur.</w:t>
                  </w:r>
                  <w:r/>
                </w:p>
                <w:p w14:paraId="283F839C" w14:textId="77777777">
                  <w:pPr>
                    <w:framePr w:hAnchor="margin" w:hSpace="141" w:vAnchor="page" w:wrap="around" w:xAlign="center" w:y="871"/>
                    <w:pBdr>
                      <w:top w:val="none" w:color="000000" w:sz="4" w:space="0"/>
                      <w:left w:val="none" w:color="000000" w:sz="4" w:space="0"/>
                      <w:bottom w:val="none" w:color="000000" w:sz="4" w:space="0"/>
                      <w:right w:val="none" w:color="000000" w:sz="4" w:space="0"/>
                      <w:between w:val="none" w:color="000000" w:sz="4" w:space="0"/>
                    </w:pBdr>
                    <w:spacing/>
                    <w:ind w:firstLine="0"/>
                    <w:rPr/>
                  </w:pPr>
                  <w:r/>
                  <w:hyperlink r:id="rId17" w:tooltip="https://www.codededeontologiedespsychologues.fr/" w:history="1">
                    <w:r>
                      <w:rPr>
                        <w:rStyle w:val="1196"/>
                        <w:rFonts w:ascii="Calibri Light" w:hAnsi="Calibri Light" w:eastAsia="Calibri Light" w:cs="Calibri Light"/>
                        <w:color w:val="000000"/>
                        <w:sz w:val="20"/>
                      </w:rPr>
                      <w:t xml:space="preserve">https://www.codededeontologiedespsychologues.fr/</w:t>
                    </w:r>
                  </w:hyperlink>
                  <w:r/>
                  <w:r/>
                </w:p>
                <w:p w14:paraId="27A8B02B" w14:textId="77777777">
                  <w:pPr>
                    <w:framePr w:hAnchor="margin" w:hSpace="141" w:vAnchor="page" w:wrap="around" w:xAlign="center" w:y="871"/>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eastAsia="Calibri Light" w:cs="Calibri Light"/>
                      <w:color w:val="000000"/>
                      <w:sz w:val="20"/>
                      <w:szCs w:val="20"/>
                    </w:rPr>
                  </w:pPr>
                  <w:r>
                    <w:rPr>
                      <w:rFonts w:ascii="Calibri Light" w:hAnsi="Calibri Light" w:eastAsia="Calibri Light" w:cs="Calibri Light"/>
                      <w:color w:val="000000"/>
                      <w:sz w:val="20"/>
                    </w:rPr>
                    <w:t xml:space="preserve">Voyazopoulos</w:t>
                  </w:r>
                  <w:r>
                    <w:rPr>
                      <w:rFonts w:ascii="Calibri Light" w:hAnsi="Calibri Light" w:eastAsia="Calibri Light" w:cs="Calibri Light"/>
                      <w:color w:val="000000"/>
                      <w:sz w:val="20"/>
                    </w:rPr>
                    <w:t xml:space="preserve">, R., </w:t>
                  </w:r>
                  <w:r>
                    <w:rPr>
                      <w:rFonts w:ascii="Calibri Light" w:hAnsi="Calibri Light" w:eastAsia="Calibri Light" w:cs="Calibri Light"/>
                      <w:color w:val="000000"/>
                      <w:sz w:val="20"/>
                    </w:rPr>
                    <w:t xml:space="preserve">Vannetzel</w:t>
                  </w:r>
                  <w:r>
                    <w:rPr>
                      <w:rFonts w:ascii="Calibri Light" w:hAnsi="Calibri Light" w:eastAsia="Calibri Light" w:cs="Calibri Light"/>
                      <w:color w:val="000000"/>
                      <w:sz w:val="20"/>
                    </w:rPr>
                    <w:t xml:space="preserve">, L., &amp; </w:t>
                  </w:r>
                  <w:r>
                    <w:rPr>
                      <w:rFonts w:ascii="Calibri Light" w:hAnsi="Calibri Light" w:eastAsia="Calibri Light" w:cs="Calibri Light"/>
                      <w:color w:val="000000"/>
                      <w:sz w:val="20"/>
                    </w:rPr>
                    <w:t xml:space="preserve">Eynard</w:t>
                  </w:r>
                  <w:r>
                    <w:rPr>
                      <w:rFonts w:ascii="Calibri Light" w:hAnsi="Calibri Light" w:eastAsia="Calibri Light" w:cs="Calibri Light"/>
                      <w:color w:val="000000"/>
                      <w:sz w:val="20"/>
                    </w:rPr>
                    <w:t xml:space="preserve">, L.-A. (2011). L'examen psychologique de l'enfant et l'utilisation des mesures : conférence de consensus. Dunod</w:t>
                  </w:r>
                  <w:r>
                    <w:rPr>
                      <w:rFonts w:ascii="Calibri Light" w:hAnsi="Calibri Light" w:eastAsia="Calibri Light" w:cs="Calibri Light"/>
                      <w:color w:val="000000"/>
                      <w:sz w:val="20"/>
                      <w:szCs w:val="20"/>
                    </w:rPr>
                  </w:r>
                  <w:r>
                    <w:rPr>
                      <w:rFonts w:ascii="Calibri Light" w:hAnsi="Calibri Light" w:eastAsia="Calibri Light" w:cs="Calibri Light"/>
                      <w:color w:val="000000"/>
                      <w:sz w:val="20"/>
                      <w:szCs w:val="20"/>
                    </w:rPr>
                  </w:r>
                </w:p>
                <w:p w14:paraId="0D7B39D1" w14:textId="77777777">
                  <w:pPr>
                    <w:framePr w:hAnchor="margin" w:hSpace="141" w:vAnchor="page" w:wrap="around" w:xAlign="center" w:y="871"/>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szCs w:val="20"/>
                    </w:rPr>
                    <w:t xml:space="preserve">Vrignaud, P., Castro, D., &amp; </w:t>
                  </w:r>
                  <w:r>
                    <w:rPr>
                      <w:rFonts w:ascii="Calibri Light" w:hAnsi="Calibri Light" w:eastAsia="Calibri Light" w:cs="Calibri Light"/>
                      <w:color w:val="000000"/>
                      <w:sz w:val="20"/>
                      <w:szCs w:val="20"/>
                    </w:rPr>
                    <w:t xml:space="preserve">Mogenet</w:t>
                  </w:r>
                  <w:r>
                    <w:rPr>
                      <w:rFonts w:ascii="Calibri Light" w:hAnsi="Calibri Light" w:eastAsia="Calibri Light" w:cs="Calibri Light"/>
                      <w:color w:val="000000"/>
                      <w:sz w:val="20"/>
                      <w:szCs w:val="20"/>
                    </w:rPr>
                    <w:t xml:space="preserve">, J. L. (2003). </w:t>
                  </w:r>
                  <w:r>
                    <w:rPr>
                      <w:rFonts w:ascii="Calibri Light" w:hAnsi="Calibri Light" w:eastAsia="Calibri Light" w:cs="Calibri Light"/>
                      <w:color w:val="000000"/>
                      <w:sz w:val="20"/>
                      <w:szCs w:val="20"/>
                    </w:rPr>
                    <w:t xml:space="preserve">Recommandations  internationales</w:t>
                  </w:r>
                  <w:r>
                    <w:rPr>
                      <w:rFonts w:ascii="Calibri Light" w:hAnsi="Calibri Light" w:eastAsia="Calibri Light" w:cs="Calibri Light"/>
                      <w:color w:val="000000"/>
                      <w:sz w:val="20"/>
                      <w:szCs w:val="20"/>
                    </w:rPr>
                    <w:t xml:space="preserve"> sur l’utilisation des tests: version 2000. Pratiques Psychologiques, numéro spécial </w:t>
                  </w:r>
                  <w:r>
                    <w:rPr>
                      <w:rFonts w:ascii="Calibri Light" w:hAnsi="Calibri Light" w:eastAsia="Calibri Light" w:cs="Calibri Light"/>
                      <w:color w:val="000000"/>
                      <w:sz w:val="20"/>
                      <w:szCs w:val="20"/>
                    </w:rPr>
                    <w:t xml:space="preserve">hors série</w:t>
                  </w:r>
                  <w:r>
                    <w:rPr>
                      <w:rFonts w:ascii="Calibri Light" w:hAnsi="Calibri Light" w:eastAsia="Calibri Light" w:cs="Calibri Light"/>
                      <w:color w:val="000000"/>
                      <w:sz w:val="20"/>
                      <w:szCs w:val="20"/>
                    </w:rPr>
                    <w:t xml:space="preserve">.</w:t>
                  </w:r>
                  <w:r/>
                </w:p>
                <w:p w14:paraId="4B65B262" w14:textId="77777777">
                  <w:pPr>
                    <w:framePr w:hAnchor="margin" w:hSpace="141" w:vAnchor="page" w:wrap="around" w:xAlign="center" w:y="871"/>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eastAsia="Calibri Light" w:cs="Calibri Light"/>
                      <w:color w:val="000000"/>
                      <w:sz w:val="20"/>
                      <w:szCs w:val="20"/>
                    </w:rPr>
                  </w:pPr>
                  <w:r>
                    <w:rPr>
                      <w:rFonts w:ascii="Calibri Light" w:hAnsi="Calibri Light" w:eastAsia="Calibri Light" w:cs="Calibri Light"/>
                      <w:color w:val="000000"/>
                      <w:sz w:val="20"/>
                      <w:szCs w:val="20"/>
                    </w:rPr>
                    <w:t xml:space="preserve">Vrignaud, P., Chevalier, A., &amp; </w:t>
                  </w:r>
                  <w:r>
                    <w:rPr>
                      <w:rFonts w:ascii="Calibri Light" w:hAnsi="Calibri Light" w:eastAsia="Calibri Light" w:cs="Calibri Light"/>
                      <w:color w:val="000000"/>
                      <w:sz w:val="20"/>
                      <w:szCs w:val="20"/>
                    </w:rPr>
                    <w:t xml:space="preserve">Paineau</w:t>
                  </w:r>
                  <w:r>
                    <w:rPr>
                      <w:rFonts w:ascii="Calibri Light" w:hAnsi="Calibri Light" w:eastAsia="Calibri Light" w:cs="Calibri Light"/>
                      <w:color w:val="000000"/>
                      <w:sz w:val="20"/>
                      <w:szCs w:val="20"/>
                    </w:rPr>
                    <w:t xml:space="preserve">, A. (2009). </w:t>
                  </w:r>
                  <w:r>
                    <w:rPr>
                      <w:rFonts w:ascii="Calibri Light" w:hAnsi="Calibri Light" w:eastAsia="Calibri Light" w:cs="Calibri Light"/>
                      <w:color w:val="000000"/>
                      <w:sz w:val="20"/>
                      <w:szCs w:val="20"/>
                    </w:rPr>
                    <w:t xml:space="preserve">Recommandations  internationales</w:t>
                  </w:r>
                  <w:r>
                    <w:rPr>
                      <w:rFonts w:ascii="Calibri Light" w:hAnsi="Calibri Light" w:eastAsia="Calibri Light" w:cs="Calibri Light"/>
                      <w:color w:val="000000"/>
                      <w:sz w:val="20"/>
                      <w:szCs w:val="20"/>
                    </w:rPr>
                    <w:t xml:space="preserve"> sur les tests informatisés ou les tests distribués par  Internet. Pratiques Psychologiques.</w:t>
                  </w:r>
                  <w:r>
                    <w:rPr>
                      <w:rFonts w:ascii="Calibri Light" w:hAnsi="Calibri Light" w:eastAsia="Calibri Light" w:cs="Calibri Light"/>
                      <w:color w:val="000000"/>
                      <w:sz w:val="20"/>
                      <w:szCs w:val="20"/>
                    </w:rPr>
                  </w:r>
                  <w:r>
                    <w:rPr>
                      <w:rFonts w:ascii="Calibri Light" w:hAnsi="Calibri Light" w:eastAsia="Calibri Light" w:cs="Calibri Light"/>
                      <w:color w:val="000000"/>
                      <w:sz w:val="20"/>
                      <w:szCs w:val="20"/>
                    </w:rPr>
                  </w:r>
                </w:p>
              </w:tc>
            </w:tr>
          </w:tbl>
          <w:p w14:paraId="21BCB07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rHeight w:val="280"/>
        </w:trPr>
        <w:tc>
          <w:tcPr>
            <w:shd w:val="clear" w:color="auto" w:fill="d9d9d9" w:themeFill="background1" w:themeFillShade="D9"/>
            <w:tcBorders>
              <w:left w:val="single" w:color="000000" w:sz="4" w:space="0"/>
              <w:bottom w:val="single" w:color="000000" w:sz="4" w:space="0"/>
            </w:tcBorders>
            <w:tcW w:w="3825" w:type="dxa"/>
          </w:tcPr>
          <w:p w14:paraId="7F86E94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d9d9d9" w:themeFill="background1" w:themeFillShade="D9"/>
            <w:tcBorders>
              <w:left w:val="single" w:color="000000" w:sz="4" w:space="0"/>
              <w:bottom w:val="single" w:color="000000" w:sz="4" w:space="0"/>
              <w:right w:val="single" w:color="000000" w:sz="4" w:space="0"/>
            </w:tcBorders>
            <w:tcW w:w="7011" w:type="dxa"/>
          </w:tcPr>
          <w:p w14:paraId="75B1335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rHeight w:val="280"/>
        </w:trPr>
        <w:tc>
          <w:tcPr>
            <w:shd w:val="clear" w:color="auto" w:fill="auto"/>
            <w:tcBorders>
              <w:left w:val="single" w:color="000000" w:sz="4" w:space="0"/>
              <w:bottom w:val="single" w:color="000000" w:sz="4" w:space="0"/>
            </w:tcBorders>
            <w:tcW w:w="3825" w:type="dxa"/>
          </w:tcPr>
          <w:p w14:paraId="40C3DA0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obligatoire</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7011" w:type="dxa"/>
          </w:tcPr>
          <w:p w14:paraId="3490249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rHeight w:val="280"/>
        </w:trPr>
        <w:tc>
          <w:tcPr>
            <w:shd w:val="clear" w:color="auto" w:fill="auto"/>
            <w:tcBorders>
              <w:left w:val="single" w:color="000000" w:sz="4" w:space="0"/>
              <w:bottom w:val="single" w:color="000000" w:sz="4" w:space="0"/>
            </w:tcBorders>
            <w:tcW w:w="3825" w:type="dxa"/>
          </w:tcPr>
          <w:p w14:paraId="4EEB77F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recommandé</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7011" w:type="dxa"/>
          </w:tcPr>
          <w:p w14:paraId="3A67569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rHeight w:val="280"/>
        </w:trPr>
        <w:tc>
          <w:tcPr>
            <w:shd w:val="clear" w:color="auto" w:fill="e6e6e6"/>
            <w:tcBorders>
              <w:top w:val="single" w:color="000000" w:sz="4" w:space="0"/>
              <w:left w:val="single" w:color="000000" w:sz="4" w:space="0"/>
              <w:bottom w:val="single" w:color="000000" w:sz="4" w:space="0"/>
            </w:tcBorders>
            <w:tcW w:w="3825" w:type="dxa"/>
          </w:tcPr>
          <w:p w14:paraId="6663197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7011" w:type="dxa"/>
          </w:tcPr>
          <w:p w14:paraId="02D562F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97"/>
        </w:trPr>
        <w:tc>
          <w:tcPr>
            <w:shd w:val="clear" w:color="auto" w:fill="auto"/>
            <w:tcBorders>
              <w:left w:val="single" w:color="000000" w:sz="4" w:space="0"/>
              <w:bottom w:val="single" w:color="000000" w:sz="4" w:space="0"/>
            </w:tcBorders>
            <w:tcW w:w="3825" w:type="dxa"/>
          </w:tcPr>
          <w:p w14:paraId="6C751B1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7011" w:type="dxa"/>
          </w:tcPr>
          <w:p w14:paraId="639DB50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eastAsia="Calibri Light" w:cs="Calibri Light"/>
                <w:color w:val="000000"/>
                <w:sz w:val="20"/>
                <w:szCs w:val="20"/>
              </w:rPr>
            </w:pPr>
            <w:r>
              <w:rPr>
                <w:rFonts w:ascii="Calibri Light" w:hAnsi="Calibri Light" w:eastAsia="Calibri Light" w:cs="Calibri Light"/>
                <w:color w:val="000000"/>
                <w:sz w:val="20"/>
              </w:rPr>
              <w:t xml:space="preserve">Fiche de synthèse de test (note de groupe sur 10 + note individuelle sur 10) 40 % </w:t>
            </w:r>
            <w:r>
              <w:rPr>
                <w:rFonts w:ascii="Calibri Light" w:hAnsi="Calibri Light" w:eastAsia="Calibri Light" w:cs="Calibri Light"/>
                <w:color w:val="000000"/>
                <w:sz w:val="20"/>
              </w:rPr>
              <w:t xml:space="preserve">+  </w:t>
            </w:r>
            <w:r>
              <w:rPr>
                <w:rFonts w:eastAsia="Liberation Sans" w:asciiTheme="majorHAnsi" w:hAnsiTheme="majorHAnsi" w:cstheme="majorHAnsi"/>
                <w:color w:val="000000" w:themeColor="text1"/>
                <w:sz w:val="20"/>
                <w:szCs w:val="20"/>
              </w:rPr>
              <w:t xml:space="preserve">contrôle</w:t>
            </w:r>
            <w:r>
              <w:rPr>
                <w:rFonts w:eastAsia="Liberation Sans" w:asciiTheme="majorHAnsi" w:hAnsiTheme="majorHAnsi" w:cstheme="majorHAnsi"/>
                <w:color w:val="000000" w:themeColor="text1"/>
                <w:sz w:val="20"/>
                <w:szCs w:val="20"/>
              </w:rPr>
              <w:t xml:space="preserve"> terminal </w:t>
            </w:r>
            <w:r>
              <w:rPr>
                <w:rFonts w:ascii="Calibri Light" w:hAnsi="Calibri Light" w:eastAsia="Calibri Light" w:cs="Calibri Light"/>
                <w:color w:val="000000"/>
                <w:sz w:val="20"/>
              </w:rPr>
              <w:t xml:space="preserve">QCM</w:t>
            </w:r>
            <w:r>
              <w:rPr>
                <w:rFonts w:eastAsia="Liberation Sans" w:asciiTheme="majorHAnsi" w:hAnsiTheme="majorHAnsi" w:cstheme="majorHAnsi"/>
                <w:color w:val="000000" w:themeColor="text1"/>
                <w:sz w:val="20"/>
                <w:szCs w:val="20"/>
              </w:rPr>
              <w:t xml:space="preserve"> </w:t>
            </w:r>
            <w:r>
              <w:rPr>
                <w:rFonts w:ascii="Calibri Light" w:hAnsi="Calibri Light" w:eastAsia="Calibri Light" w:cs="Calibri Light"/>
                <w:color w:val="000000"/>
                <w:sz w:val="20"/>
              </w:rPr>
              <w:t xml:space="preserve">60 %. </w:t>
            </w:r>
            <w:r>
              <w:rPr>
                <w:rFonts w:ascii="Calibri Light" w:hAnsi="Calibri Light" w:eastAsia="Calibri Light" w:cs="Calibri Light"/>
                <w:color w:val="000000"/>
                <w:sz w:val="20"/>
                <w:szCs w:val="20"/>
              </w:rPr>
            </w:r>
            <w:r>
              <w:rPr>
                <w:rFonts w:ascii="Calibri Light" w:hAnsi="Calibri Light" w:eastAsia="Calibri Light" w:cs="Calibri Light"/>
                <w:color w:val="000000"/>
                <w:sz w:val="20"/>
                <w:szCs w:val="20"/>
              </w:rPr>
            </w:r>
          </w:p>
          <w:p w14:paraId="3436755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Cs/>
                <w:i/>
                <w:color w:val="000000" w:themeColor="text1"/>
                <w:sz w:val="20"/>
                <w:szCs w:val="20"/>
              </w:rPr>
            </w:pPr>
            <w:r>
              <w:rPr>
                <w:rFonts w:ascii="Calibri Light" w:hAnsi="Calibri Light" w:eastAsia="Calibri Light" w:cs="Calibri Light"/>
                <w:color w:val="000000"/>
                <w:sz w:val="20"/>
              </w:rPr>
              <w:t xml:space="preserve">Régime dérogatoire : QCM 100 % ; Session 2 : QCM 100 %</w:t>
            </w:r>
            <w:r>
              <w:rPr>
                <w:rFonts w:eastAsia="Liberation Sans" w:asciiTheme="majorHAnsi" w:hAnsiTheme="majorHAnsi" w:cstheme="majorHAnsi"/>
                <w:bCs/>
                <w:i/>
                <w:color w:val="000000" w:themeColor="text1"/>
                <w:sz w:val="20"/>
                <w:szCs w:val="20"/>
              </w:rPr>
            </w:r>
            <w:r>
              <w:rPr>
                <w:rFonts w:eastAsia="Liberation Sans" w:asciiTheme="majorHAnsi" w:hAnsiTheme="majorHAnsi" w:cstheme="majorHAnsi"/>
                <w:bCs/>
                <w:i/>
                <w:color w:val="000000" w:themeColor="text1"/>
                <w:sz w:val="20"/>
                <w:szCs w:val="20"/>
              </w:rPr>
            </w:r>
          </w:p>
        </w:tc>
      </w:tr>
    </w:tbl>
    <w:p w14:paraId="7F3C720E" w14:textId="4CF086F6">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2765938" w14:textId="3F4E91B0">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437D4DE" w14:textId="2CEE30E0">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8D5CE40" w14:textId="4D565506">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408B6FA" w14:textId="5D604898">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1CDDCC3" w14:textId="619B141B">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55F45E6" w14:textId="0309463A">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5D7BEFE" w14:textId="10C6D84A">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7645A56" w14:textId="1FEA6BB6">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F32F01E" w14:textId="6032A848">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26EB5E4" w14:textId="3C44963D">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E4474A8" w14:textId="133C2A59">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6315F98" w14:textId="2F2CF3BB">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A8F1889" w14:textId="0EAD242D">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351951C" w14:textId="0BD226F2">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82CC83D" w14:textId="090A9A1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6C6143B" w14:textId="28031E43">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AACA983" w14:textId="6CEFD0C4">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728E8A9" w14:textId="0772862C">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F91F33E" w14:textId="2D2D6046">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0D33399" w14:textId="016F4A14">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5799E69" w14:textId="45BEDE03">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6580373" w14:textId="39893994">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072C4B2" w14:textId="2DF0CA04">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982BDC5" w14:textId="77B6D886">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C9D8218" w14:textId="01949E7A">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D9053EF" w14:textId="64F0D8B5">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6B677BE" w14:textId="211C5B4A">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57E6E040" w14:textId="4F35E432">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180300C" w14:textId="0DC02D0E">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08D2CC2" w14:textId="62FACA91">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A3A1071" w14:textId="30958AE1">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3FDACAE" w14:textId="65D69255">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3B8C248" w14:textId="12024A95">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CF3E482" w14:textId="339239C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BBF4629" w14:textId="43F35595">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92701EE" w14:textId="1881E845">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AB86C9E" w14:textId="202BC32A">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9EAECF6" w14:textId="549176E0">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6B8A6396" w14:textId="371B6721">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1503DB9" w14:textId="6E5CA8C9">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73C42B44" w14:textId="47BCC078">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F30A3AC" w14:textId="7803BC6C">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2606B41" w14:textId="77777777">
      <w:p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0D0AF5FC" w14:textId="77777777">
      <w:pPr>
        <w:pBdr/>
        <w:spacing/>
        <w:ind/>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815234B" w14:textId="01C7262F">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tbl>
      <w:tblPr>
        <w:tblStyle w:val="1172"/>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7D7AB1EE"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709017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629B72C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008EC045" w14:textId="77777777">
            <w:pPr>
              <w:pBdr>
                <w:top w:val="none" w:color="000000" w:sz="4" w:space="0"/>
                <w:left w:val="none" w:color="000000" w:sz="4" w:space="0"/>
                <w:bottom w:val="none" w:color="000000" w:sz="4" w:space="0"/>
                <w:right w:val="none" w:color="000000" w:sz="4" w:space="0"/>
                <w:between w:val="none" w:color="000000" w:sz="4" w:space="0"/>
              </w:pBdr>
              <w:spacing w:before="100"/>
              <w:ind w:firstLine="0"/>
              <w:rPr>
                <w:rFonts w:eastAsia="Times New Roman" w:asciiTheme="majorHAnsi" w:hAnsiTheme="majorHAnsi" w:cstheme="majorHAnsi"/>
                <w:b/>
                <w:color w:val="000000" w:themeColor="text1"/>
                <w:sz w:val="20"/>
                <w:szCs w:val="20"/>
              </w:rPr>
            </w:pPr>
            <w:r>
              <w:rPr>
                <w:rFonts w:eastAsia="Times New Roman" w:asciiTheme="majorHAnsi" w:hAnsiTheme="majorHAnsi" w:cstheme="majorHAnsi"/>
                <w:b/>
                <w:color w:val="000000" w:themeColor="text1"/>
                <w:sz w:val="20"/>
                <w:szCs w:val="20"/>
              </w:rPr>
              <w:t xml:space="preserve">HPS6U45</w:t>
            </w:r>
            <w:r>
              <w:rPr>
                <w:rFonts w:eastAsia="Times New Roman" w:asciiTheme="majorHAnsi" w:hAnsiTheme="majorHAnsi" w:cstheme="majorHAnsi"/>
                <w:b/>
                <w:color w:val="000000" w:themeColor="text1"/>
                <w:sz w:val="20"/>
                <w:szCs w:val="20"/>
              </w:rPr>
            </w:r>
            <w:r>
              <w:rPr>
                <w:rFonts w:eastAsia="Times New Roman"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FAC00D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4AA3D8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Times New Roman" w:asciiTheme="majorHAnsi" w:hAnsiTheme="majorHAnsi" w:cstheme="majorHAnsi"/>
                <w:color w:val="000000" w:themeColor="text1"/>
                <w:sz w:val="20"/>
                <w:szCs w:val="20"/>
              </w:rPr>
            </w:pPr>
            <w:r>
              <w:rPr>
                <w:color w:val="000000"/>
                <w:sz w:val="20"/>
              </w:rPr>
              <w:t xml:space="preserve">Statistiques pour psychologue S6</w:t>
            </w:r>
            <w:r>
              <w:rPr>
                <w:rFonts w:eastAsia="Times New Roman" w:asciiTheme="majorHAnsi" w:hAnsiTheme="majorHAnsi" w:cstheme="majorHAnsi"/>
                <w:color w:val="000000" w:themeColor="text1"/>
                <w:sz w:val="20"/>
                <w:szCs w:val="20"/>
              </w:rPr>
            </w:r>
            <w:r>
              <w:rPr>
                <w:rFonts w:eastAsia="Times New Roman"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E0DE49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60899E2" w14:textId="77777777">
            <w:pPr>
              <w:pBdr>
                <w:top w:val="none" w:color="000000" w:sz="4" w:space="0"/>
                <w:left w:val="none" w:color="000000" w:sz="4" w:space="0"/>
                <w:bottom w:val="none" w:color="000000" w:sz="4" w:space="0"/>
                <w:right w:val="none" w:color="000000" w:sz="4" w:space="0"/>
                <w:between w:val="none" w:color="000000" w:sz="4" w:space="0"/>
              </w:pBdr>
              <w:spacing/>
              <w:ind w:firstLine="0"/>
              <w:rPr>
                <w:color w:val="000000"/>
                <w:sz w:val="20"/>
                <w:szCs w:val="20"/>
              </w:rPr>
            </w:pPr>
            <w:r>
              <w:rPr>
                <w:color w:val="000000"/>
                <w:sz w:val="20"/>
                <w:szCs w:val="20"/>
              </w:rPr>
              <w:t xml:space="preserve">Modèles linéaires généraux et généralisés – Modélisation multi-niveaux – Modèles en équations structurales - Modèles en réseaux</w:t>
            </w:r>
            <w:r>
              <w:rPr>
                <w:color w:val="000000"/>
                <w:sz w:val="20"/>
                <w:szCs w:val="20"/>
              </w:rPr>
            </w:r>
            <w:r>
              <w:rPr>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22A77DA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E8C91BE" w14:textId="77777777">
            <w:pPr>
              <w:pBdr>
                <w:top w:val="none" w:color="000000" w:sz="4" w:space="0"/>
                <w:left w:val="none" w:color="000000" w:sz="4" w:space="0"/>
                <w:bottom w:val="none" w:color="000000" w:sz="4" w:space="0"/>
                <w:right w:val="none" w:color="000000" w:sz="4" w:space="0"/>
                <w:between w:val="none" w:color="000000" w:sz="4" w:space="0"/>
              </w:pBdr>
              <w:spacing/>
              <w:ind w:firstLine="0"/>
              <w:rPr>
                <w:color w:val="000000"/>
                <w:sz w:val="20"/>
                <w:szCs w:val="20"/>
              </w:rPr>
            </w:pPr>
            <w:r>
              <w:rPr>
                <w:color w:val="000000"/>
                <w:sz w:val="20"/>
                <w:szCs w:val="20"/>
              </w:rPr>
              <w:t xml:space="preserve">Cette UE est une introduction à l’analyse des données par modélisation. La notion de modélisation et l’approche par comparaison de modèles seront présentées ainsi que quelques-uns des modèles les plus couramment utilisés en psychologie. </w:t>
            </w:r>
            <w:r>
              <w:rPr>
                <w:color w:val="000000"/>
                <w:sz w:val="20"/>
                <w:szCs w:val="20"/>
              </w:rPr>
            </w:r>
            <w:r>
              <w:rPr>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7763FC8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1DC3E9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color w:val="000000"/>
                <w:sz w:val="20"/>
                <w:szCs w:val="20"/>
              </w:rPr>
              <w:t xml:space="preserve">3 ECTS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4A76C2A"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5ED6AD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C50E42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64DCD5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Times New Roman" w:asciiTheme="majorHAnsi" w:hAnsiTheme="majorHAnsi" w:cstheme="majorHAnsi"/>
                <w:color w:val="000000" w:themeColor="text1"/>
                <w:sz w:val="20"/>
                <w:szCs w:val="20"/>
              </w:rPr>
            </w:pPr>
            <w:r>
              <w:rPr>
                <w:color w:val="000000"/>
                <w:sz w:val="20"/>
                <w:szCs w:val="20"/>
              </w:rPr>
              <w:t xml:space="preserve">Dans ce cours les étudiants apprendront à analyser des données en psychologie à l'aide d</w:t>
            </w:r>
            <w:r>
              <w:rPr>
                <w:color w:val="000000"/>
                <w:sz w:val="20"/>
                <w:szCs w:val="20"/>
              </w:rPr>
              <w:t xml:space="preserve">e diverses techniques de modélisation. Ils acquerront une compréhension approfondie des concepts de modélisation et de la comparaison de modèles, en se familiarisant avec des outils couramment utilisés en psychologie pour interpréter des données complexes.</w:t>
            </w:r>
            <w:r>
              <w:rPr>
                <w:rFonts w:eastAsia="Times New Roman" w:asciiTheme="majorHAnsi" w:hAnsiTheme="majorHAnsi" w:cstheme="majorHAnsi"/>
                <w:color w:val="000000" w:themeColor="text1"/>
                <w:sz w:val="20"/>
                <w:szCs w:val="20"/>
              </w:rPr>
            </w:r>
            <w:r>
              <w:rPr>
                <w:rFonts w:eastAsia="Times New Roman"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5FFCE63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419149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BD0232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AE19464" w14:textId="77777777">
            <w:pPr>
              <w:pBdr>
                <w:top w:val="none" w:color="000000" w:sz="4" w:space="0"/>
                <w:left w:val="none" w:color="000000" w:sz="4" w:space="0"/>
                <w:bottom w:val="none" w:color="000000" w:sz="4" w:space="0"/>
                <w:right w:val="none" w:color="000000" w:sz="4" w:space="0"/>
                <w:between w:val="none" w:color="000000" w:sz="4" w:space="0"/>
              </w:pBdr>
              <w:spacing/>
              <w:ind w:firstLine="0"/>
              <w:rPr>
                <w:color w:val="000000"/>
                <w:sz w:val="20"/>
                <w:szCs w:val="20"/>
              </w:rPr>
            </w:pPr>
            <w:r>
              <w:rPr>
                <w:color w:val="000000"/>
                <w:sz w:val="20"/>
                <w:szCs w:val="20"/>
              </w:rPr>
              <w:t xml:space="preserve">Bruno Dauvier / Nicolas Pichot</w:t>
            </w:r>
            <w:r>
              <w:rPr>
                <w:color w:val="000000"/>
                <w:sz w:val="20"/>
                <w:szCs w:val="20"/>
              </w:rPr>
            </w:r>
            <w:r>
              <w:rPr>
                <w:color w:val="000000"/>
                <w:sz w:val="20"/>
                <w:szCs w:val="20"/>
              </w:rPr>
            </w:r>
          </w:p>
        </w:tc>
      </w:tr>
      <w:tr>
        <w:trPr/>
        <w:tc>
          <w:tcPr>
            <w:shd w:val="clear" w:color="auto" w:fill="auto"/>
            <w:tcBorders>
              <w:left w:val="single" w:color="000000" w:sz="4" w:space="0"/>
              <w:bottom w:val="single" w:color="000000" w:sz="4" w:space="0"/>
            </w:tcBorders>
            <w:tcW w:w="3402" w:type="dxa"/>
          </w:tcPr>
          <w:p w14:paraId="4715F82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0DD3E0B" w14:textId="77777777">
            <w:pPr>
              <w:pBdr>
                <w:top w:val="none" w:color="000000" w:sz="4" w:space="0"/>
                <w:left w:val="none" w:color="000000" w:sz="4" w:space="0"/>
                <w:bottom w:val="none" w:color="000000" w:sz="4" w:space="0"/>
                <w:right w:val="none" w:color="000000" w:sz="4" w:space="0"/>
                <w:between w:val="none" w:color="000000" w:sz="4" w:space="0"/>
              </w:pBdr>
              <w:spacing/>
              <w:ind w:firstLine="0"/>
              <w:rPr>
                <w:color w:val="000000"/>
                <w:sz w:val="20"/>
                <w:szCs w:val="20"/>
              </w:rPr>
            </w:pPr>
            <w:r>
              <w:rPr>
                <w:color w:val="000000"/>
                <w:sz w:val="20"/>
                <w:szCs w:val="20"/>
              </w:rPr>
              <w:t xml:space="preserve">CM</w:t>
            </w:r>
            <w:r>
              <w:rPr>
                <w:color w:val="000000"/>
                <w:sz w:val="20"/>
                <w:szCs w:val="20"/>
              </w:rPr>
              <w:t xml:space="preserve"> :Bruno</w:t>
            </w:r>
            <w:r>
              <w:rPr>
                <w:color w:val="000000"/>
                <w:sz w:val="20"/>
                <w:szCs w:val="20"/>
              </w:rPr>
              <w:t xml:space="preserve"> Dauvier / Nicolas Pichot</w:t>
            </w:r>
            <w:r>
              <w:rPr>
                <w:color w:val="000000"/>
                <w:sz w:val="20"/>
                <w:szCs w:val="20"/>
              </w:rPr>
            </w:r>
            <w:r>
              <w:rPr>
                <w:color w:val="000000"/>
                <w:sz w:val="20"/>
                <w:szCs w:val="20"/>
              </w:rPr>
            </w:r>
          </w:p>
          <w:p w14:paraId="32A1F1FB" w14:textId="77777777">
            <w:pPr>
              <w:pBdr>
                <w:top w:val="none" w:color="000000" w:sz="4" w:space="0"/>
                <w:left w:val="none" w:color="000000" w:sz="4" w:space="0"/>
                <w:bottom w:val="none" w:color="000000" w:sz="4" w:space="0"/>
                <w:right w:val="none" w:color="000000" w:sz="4" w:space="0"/>
                <w:between w:val="none" w:color="000000" w:sz="4" w:space="0"/>
              </w:pBdr>
              <w:spacing/>
              <w:ind w:firstLine="0"/>
              <w:rPr>
                <w:color w:val="000000"/>
                <w:sz w:val="20"/>
                <w:szCs w:val="20"/>
              </w:rPr>
            </w:pPr>
            <w:r>
              <w:rPr>
                <w:color w:val="000000"/>
                <w:sz w:val="20"/>
                <w:szCs w:val="20"/>
              </w:rPr>
              <w:t xml:space="preserve">TD : </w:t>
            </w:r>
            <w:r>
              <w:rPr>
                <w:color w:val="000000"/>
                <w:sz w:val="20"/>
                <w:szCs w:val="20"/>
              </w:rPr>
              <w:t xml:space="preserve">ATERs</w:t>
            </w:r>
            <w:r>
              <w:rPr>
                <w:color w:val="000000"/>
                <w:sz w:val="20"/>
                <w:szCs w:val="20"/>
              </w:rPr>
              <w:t xml:space="preserve">, doctorants, post-docs &amp; vacataires</w:t>
            </w:r>
            <w:r>
              <w:rPr>
                <w:color w:val="000000"/>
                <w:sz w:val="20"/>
                <w:szCs w:val="20"/>
              </w:rPr>
            </w:r>
            <w:r>
              <w:rPr>
                <w:color w:val="000000"/>
                <w:sz w:val="20"/>
                <w:szCs w:val="20"/>
              </w:rPr>
            </w:r>
          </w:p>
        </w:tc>
      </w:tr>
      <w:tr>
        <w:trPr/>
        <w:tc>
          <w:tcPr>
            <w:shd w:val="clear" w:color="auto" w:fill="auto"/>
            <w:tcBorders>
              <w:left w:val="single" w:color="000000" w:sz="4" w:space="0"/>
              <w:bottom w:val="single" w:color="000000" w:sz="4" w:space="0"/>
            </w:tcBorders>
            <w:tcW w:w="3402" w:type="dxa"/>
          </w:tcPr>
          <w:p w14:paraId="172082E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w:t>
            </w:r>
            <w:r>
              <w:rPr>
                <w:rFonts w:eastAsia="Times New Roman"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t xml:space="preserve">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549830C" w14:textId="77777777">
            <w:pPr>
              <w:pBdr>
                <w:top w:val="none" w:color="000000" w:sz="4" w:space="0"/>
                <w:left w:val="none" w:color="000000" w:sz="4" w:space="0"/>
                <w:bottom w:val="none" w:color="000000" w:sz="4" w:space="0"/>
                <w:right w:val="none" w:color="000000" w:sz="4" w:space="0"/>
                <w:between w:val="none" w:color="000000" w:sz="4" w:space="0"/>
              </w:pBdr>
              <w:spacing/>
              <w:ind w:firstLine="0"/>
              <w:rPr>
                <w:color w:val="000000"/>
                <w:sz w:val="20"/>
                <w:szCs w:val="20"/>
              </w:rPr>
            </w:pPr>
            <w:r>
              <w:rPr>
                <w:color w:val="000000"/>
                <w:sz w:val="20"/>
                <w:szCs w:val="20"/>
              </w:rPr>
              <w:t xml:space="preserve">-</w:t>
            </w:r>
            <w:r>
              <w:rPr>
                <w:color w:val="000000"/>
                <w:sz w:val="20"/>
                <w:szCs w:val="20"/>
              </w:rPr>
            </w:r>
            <w:r>
              <w:rPr>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153D41E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A169136" w14:textId="77777777">
            <w:pPr>
              <w:pBdr>
                <w:top w:val="none" w:color="000000" w:sz="4" w:space="0"/>
                <w:left w:val="none" w:color="000000" w:sz="4" w:space="0"/>
                <w:bottom w:val="none" w:color="000000" w:sz="4" w:space="0"/>
                <w:right w:val="none" w:color="000000" w:sz="4" w:space="0"/>
                <w:between w:val="none" w:color="000000" w:sz="4" w:space="0"/>
              </w:pBdr>
              <w:spacing/>
              <w:ind w:firstLine="0"/>
              <w:rPr>
                <w:color w:val="000000"/>
                <w:sz w:val="20"/>
                <w:szCs w:val="20"/>
              </w:rPr>
            </w:pPr>
            <w:r>
              <w:rPr>
                <w:color w:val="000000"/>
                <w:sz w:val="20"/>
                <w:szCs w:val="20"/>
              </w:rPr>
            </w:r>
            <w:r>
              <w:rPr>
                <w:color w:val="000000"/>
                <w:sz w:val="20"/>
                <w:szCs w:val="20"/>
              </w:rPr>
            </w:r>
            <w:r>
              <w:rPr>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36404EC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C1C1CC3" w14:textId="77777777">
            <w:pPr>
              <w:pBdr>
                <w:top w:val="none" w:color="000000" w:sz="4" w:space="0"/>
                <w:left w:val="none" w:color="000000" w:sz="4" w:space="0"/>
                <w:bottom w:val="none" w:color="000000" w:sz="4" w:space="0"/>
                <w:right w:val="none" w:color="000000" w:sz="4" w:space="0"/>
                <w:between w:val="none" w:color="000000" w:sz="4" w:space="0"/>
              </w:pBdr>
              <w:spacing/>
              <w:ind w:firstLine="0"/>
              <w:rPr>
                <w:color w:val="000000"/>
                <w:sz w:val="20"/>
                <w:szCs w:val="20"/>
              </w:rPr>
            </w:pPr>
            <w:r>
              <w:rPr>
                <w:color w:val="000000"/>
                <w:sz w:val="20"/>
                <w:szCs w:val="20"/>
              </w:rPr>
            </w:r>
            <w:r>
              <w:rPr>
                <w:color w:val="000000"/>
                <w:sz w:val="20"/>
                <w:szCs w:val="20"/>
              </w:rPr>
            </w:r>
            <w:r>
              <w:rPr>
                <w:color w:val="000000"/>
                <w:sz w:val="20"/>
                <w:szCs w:val="20"/>
              </w:rPr>
            </w:r>
          </w:p>
        </w:tc>
      </w:tr>
      <w:tr>
        <w:trPr/>
        <w:tc>
          <w:tcPr>
            <w:shd w:val="clear" w:color="auto" w:fill="auto"/>
            <w:tcBorders>
              <w:left w:val="single" w:color="000000" w:sz="4" w:space="0"/>
              <w:bottom w:val="single" w:color="000000" w:sz="4" w:space="0"/>
            </w:tcBorders>
            <w:tcW w:w="3402" w:type="dxa"/>
          </w:tcPr>
          <w:p w14:paraId="2E7A8F2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ED2931A" w14:textId="77777777">
            <w:pPr>
              <w:pBdr>
                <w:top w:val="none" w:color="000000" w:sz="4" w:space="0"/>
                <w:left w:val="none" w:color="000000" w:sz="4" w:space="0"/>
                <w:bottom w:val="none" w:color="000000" w:sz="4" w:space="0"/>
                <w:right w:val="none" w:color="000000" w:sz="4" w:space="0"/>
                <w:between w:val="none" w:color="000000" w:sz="4" w:space="0"/>
              </w:pBdr>
              <w:spacing/>
              <w:ind w:firstLine="0"/>
              <w:rPr>
                <w:color w:val="000000"/>
                <w:sz w:val="20"/>
                <w:szCs w:val="20"/>
              </w:rPr>
            </w:pPr>
            <w:r>
              <w:rPr>
                <w:color w:val="000000"/>
                <w:sz w:val="20"/>
                <w:szCs w:val="20"/>
              </w:rPr>
              <w:t xml:space="preserve">Français</w:t>
            </w:r>
            <w:r>
              <w:rPr>
                <w:color w:val="000000"/>
                <w:sz w:val="20"/>
                <w:szCs w:val="20"/>
              </w:rPr>
            </w:r>
            <w:r>
              <w:rPr>
                <w:color w:val="000000"/>
                <w:sz w:val="20"/>
                <w:szCs w:val="20"/>
              </w:rPr>
            </w:r>
          </w:p>
        </w:tc>
      </w:tr>
      <w:tr>
        <w:trPr/>
        <w:tc>
          <w:tcPr>
            <w:shd w:val="clear" w:color="auto" w:fill="auto"/>
            <w:tcBorders>
              <w:left w:val="single" w:color="000000" w:sz="4" w:space="0"/>
              <w:bottom w:val="single" w:color="000000" w:sz="4" w:space="0"/>
            </w:tcBorders>
            <w:tcW w:w="3402" w:type="dxa"/>
          </w:tcPr>
          <w:p w14:paraId="4FCBB99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59B242D" w14:textId="77777777">
            <w:pPr>
              <w:pBdr>
                <w:top w:val="none" w:color="000000" w:sz="4" w:space="0"/>
                <w:left w:val="none" w:color="000000" w:sz="4" w:space="0"/>
                <w:bottom w:val="none" w:color="000000" w:sz="4" w:space="0"/>
                <w:right w:val="none" w:color="000000" w:sz="4" w:space="0"/>
                <w:between w:val="none" w:color="000000" w:sz="4" w:space="0"/>
              </w:pBdr>
              <w:spacing/>
              <w:ind w:firstLine="0"/>
              <w:rPr>
                <w:color w:val="000000"/>
                <w:sz w:val="20"/>
                <w:szCs w:val="20"/>
              </w:rPr>
            </w:pPr>
            <w:r>
              <w:rPr>
                <w:color w:val="000000"/>
                <w:sz w:val="20"/>
                <w:szCs w:val="20"/>
              </w:rPr>
              <w:t xml:space="preserve">-</w:t>
            </w:r>
            <w:r>
              <w:rPr>
                <w:color w:val="000000"/>
                <w:sz w:val="20"/>
                <w:szCs w:val="20"/>
              </w:rPr>
            </w:r>
            <w:r>
              <w:rPr>
                <w:color w:val="000000"/>
                <w:sz w:val="20"/>
                <w:szCs w:val="20"/>
              </w:rPr>
            </w:r>
          </w:p>
        </w:tc>
      </w:tr>
      <w:tr>
        <w:trPr/>
        <w:tc>
          <w:tcPr>
            <w:shd w:val="clear" w:color="auto" w:fill="auto"/>
            <w:tcBorders>
              <w:left w:val="single" w:color="000000" w:sz="4" w:space="0"/>
              <w:bottom w:val="single" w:color="000000" w:sz="4" w:space="0"/>
            </w:tcBorders>
            <w:tcW w:w="3402" w:type="dxa"/>
          </w:tcPr>
          <w:p w14:paraId="796FB93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Volume horaire global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E216086" w14:textId="77777777">
            <w:pPr>
              <w:pBdr>
                <w:top w:val="none" w:color="000000" w:sz="4" w:space="0"/>
                <w:left w:val="none" w:color="000000" w:sz="4" w:space="0"/>
                <w:bottom w:val="none" w:color="000000" w:sz="4" w:space="0"/>
                <w:right w:val="none" w:color="000000" w:sz="4" w:space="0"/>
                <w:between w:val="none" w:color="000000" w:sz="4" w:space="0"/>
              </w:pBdr>
              <w:spacing/>
              <w:ind w:firstLine="0"/>
              <w:rPr>
                <w:color w:val="000000"/>
                <w:sz w:val="20"/>
                <w:szCs w:val="20"/>
              </w:rPr>
            </w:pPr>
            <w:r>
              <w:rPr>
                <w:color w:val="000000"/>
                <w:sz w:val="20"/>
                <w:szCs w:val="20"/>
              </w:rPr>
              <w:t xml:space="preserve">12h CM / 12h TD</w:t>
            </w:r>
            <w:r>
              <w:rPr>
                <w:color w:val="000000"/>
                <w:sz w:val="20"/>
                <w:szCs w:val="20"/>
              </w:rPr>
            </w:r>
            <w:r>
              <w:rPr>
                <w:color w:val="000000"/>
                <w:sz w:val="20"/>
                <w:szCs w:val="20"/>
              </w:rPr>
            </w:r>
          </w:p>
        </w:tc>
      </w:tr>
      <w:tr>
        <w:trPr/>
        <w:tc>
          <w:tcPr>
            <w:shd w:val="clear" w:color="auto" w:fill="auto"/>
            <w:tcBorders>
              <w:left w:val="single" w:color="000000" w:sz="4" w:space="0"/>
              <w:bottom w:val="single" w:color="000000" w:sz="4" w:space="0"/>
            </w:tcBorders>
            <w:tcW w:w="3402" w:type="dxa"/>
          </w:tcPr>
          <w:p w14:paraId="78BB70B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9E104F6" w14:textId="77777777">
            <w:pPr>
              <w:pBdr>
                <w:top w:val="none" w:color="000000" w:sz="4" w:space="0"/>
                <w:left w:val="none" w:color="000000" w:sz="4" w:space="0"/>
                <w:bottom w:val="none" w:color="000000" w:sz="4" w:space="0"/>
                <w:right w:val="none" w:color="000000" w:sz="4" w:space="0"/>
                <w:between w:val="none" w:color="000000" w:sz="4" w:space="0"/>
              </w:pBdr>
              <w:spacing/>
              <w:ind w:firstLine="0"/>
              <w:rPr>
                <w:color w:val="000000"/>
                <w:sz w:val="20"/>
                <w:szCs w:val="20"/>
              </w:rPr>
            </w:pPr>
            <w:r>
              <w:rPr>
                <w:color w:val="000000"/>
                <w:sz w:val="20"/>
                <w:szCs w:val="20"/>
              </w:rPr>
              <w:t xml:space="preserve">Faraway</w:t>
            </w:r>
            <w:r>
              <w:rPr>
                <w:color w:val="000000"/>
                <w:sz w:val="20"/>
                <w:szCs w:val="20"/>
              </w:rPr>
              <w:t xml:space="preserve">, J. J. (2014). </w:t>
            </w:r>
            <w:r>
              <w:rPr>
                <w:color w:val="000000"/>
                <w:sz w:val="20"/>
                <w:szCs w:val="20"/>
              </w:rPr>
              <w:t xml:space="preserve">Linear</w:t>
            </w:r>
            <w:r>
              <w:rPr>
                <w:color w:val="000000"/>
                <w:sz w:val="20"/>
                <w:szCs w:val="20"/>
              </w:rPr>
              <w:t xml:space="preserve"> </w:t>
            </w:r>
            <w:r>
              <w:rPr>
                <w:color w:val="000000"/>
                <w:sz w:val="20"/>
                <w:szCs w:val="20"/>
              </w:rPr>
              <w:t xml:space="preserve">models</w:t>
            </w:r>
            <w:r>
              <w:rPr>
                <w:color w:val="000000"/>
                <w:sz w:val="20"/>
                <w:szCs w:val="20"/>
              </w:rPr>
              <w:t xml:space="preserve"> </w:t>
            </w:r>
            <w:r>
              <w:rPr>
                <w:color w:val="000000"/>
                <w:sz w:val="20"/>
                <w:szCs w:val="20"/>
              </w:rPr>
              <w:t xml:space="preserve">with</w:t>
            </w:r>
            <w:r>
              <w:rPr>
                <w:color w:val="000000"/>
                <w:sz w:val="20"/>
                <w:szCs w:val="20"/>
              </w:rPr>
              <w:t xml:space="preserve"> R. CRC </w:t>
            </w:r>
            <w:r>
              <w:rPr>
                <w:color w:val="000000"/>
                <w:sz w:val="20"/>
                <w:szCs w:val="20"/>
              </w:rPr>
              <w:t xml:space="preserve">press</w:t>
            </w:r>
            <w:r>
              <w:rPr>
                <w:color w:val="000000"/>
                <w:sz w:val="20"/>
                <w:szCs w:val="20"/>
              </w:rPr>
              <w:t xml:space="preserve">. </w:t>
            </w:r>
            <w:r>
              <w:rPr>
                <w:color w:val="000000"/>
                <w:sz w:val="20"/>
                <w:szCs w:val="20"/>
              </w:rPr>
            </w:r>
            <w:r>
              <w:rPr>
                <w:color w:val="000000"/>
                <w:sz w:val="20"/>
                <w:szCs w:val="20"/>
              </w:rPr>
            </w:r>
          </w:p>
          <w:p w14:paraId="58882669" w14:textId="77777777">
            <w:pPr>
              <w:pBdr>
                <w:top w:val="none" w:color="000000" w:sz="4" w:space="0"/>
                <w:left w:val="none" w:color="000000" w:sz="4" w:space="0"/>
                <w:bottom w:val="none" w:color="000000" w:sz="4" w:space="0"/>
                <w:right w:val="none" w:color="000000" w:sz="4" w:space="0"/>
                <w:between w:val="none" w:color="000000" w:sz="4" w:space="0"/>
              </w:pBdr>
              <w:spacing/>
              <w:ind w:firstLine="0"/>
              <w:rPr>
                <w:color w:val="000000"/>
                <w:sz w:val="20"/>
                <w:szCs w:val="20"/>
              </w:rPr>
            </w:pPr>
            <w:r>
              <w:rPr>
                <w:color w:val="000000"/>
                <w:sz w:val="20"/>
                <w:szCs w:val="20"/>
              </w:rPr>
            </w:r>
            <w:r>
              <w:rPr>
                <w:color w:val="000000"/>
                <w:sz w:val="20"/>
                <w:szCs w:val="20"/>
              </w:rPr>
            </w:r>
            <w:r>
              <w:rPr>
                <w:color w:val="000000"/>
                <w:sz w:val="20"/>
                <w:szCs w:val="20"/>
              </w:rPr>
            </w:r>
          </w:p>
          <w:p w14:paraId="7A366A33" w14:textId="77777777">
            <w:pPr>
              <w:pBdr>
                <w:top w:val="none" w:color="000000" w:sz="4" w:space="0"/>
                <w:left w:val="none" w:color="000000" w:sz="4" w:space="0"/>
                <w:bottom w:val="none" w:color="000000" w:sz="4" w:space="0"/>
                <w:right w:val="none" w:color="000000" w:sz="4" w:space="0"/>
                <w:between w:val="none" w:color="000000" w:sz="4" w:space="0"/>
              </w:pBdr>
              <w:spacing/>
              <w:ind w:firstLine="0"/>
              <w:rPr>
                <w:color w:val="000000"/>
                <w:sz w:val="20"/>
                <w:szCs w:val="20"/>
              </w:rPr>
            </w:pPr>
            <w:r>
              <w:rPr>
                <w:color w:val="000000"/>
                <w:sz w:val="20"/>
                <w:szCs w:val="20"/>
              </w:rPr>
              <w:t xml:space="preserve">Faraway</w:t>
            </w:r>
            <w:r>
              <w:rPr>
                <w:color w:val="000000"/>
                <w:sz w:val="20"/>
                <w:szCs w:val="20"/>
              </w:rPr>
              <w:t xml:space="preserve">, J. J. (2016). </w:t>
            </w:r>
            <w:r>
              <w:rPr>
                <w:color w:val="000000"/>
                <w:sz w:val="20"/>
                <w:szCs w:val="20"/>
              </w:rPr>
              <w:t xml:space="preserve">Extending</w:t>
            </w:r>
            <w:r>
              <w:rPr>
                <w:color w:val="000000"/>
                <w:sz w:val="20"/>
                <w:szCs w:val="20"/>
              </w:rPr>
              <w:t xml:space="preserve"> the </w:t>
            </w:r>
            <w:r>
              <w:rPr>
                <w:color w:val="000000"/>
                <w:sz w:val="20"/>
                <w:szCs w:val="20"/>
              </w:rPr>
              <w:t xml:space="preserve">linear</w:t>
            </w:r>
            <w:r>
              <w:rPr>
                <w:color w:val="000000"/>
                <w:sz w:val="20"/>
                <w:szCs w:val="20"/>
              </w:rPr>
              <w:t xml:space="preserve"> model </w:t>
            </w:r>
            <w:r>
              <w:rPr>
                <w:color w:val="000000"/>
                <w:sz w:val="20"/>
                <w:szCs w:val="20"/>
              </w:rPr>
              <w:t xml:space="preserve">with</w:t>
            </w:r>
            <w:r>
              <w:rPr>
                <w:color w:val="000000"/>
                <w:sz w:val="20"/>
                <w:szCs w:val="20"/>
              </w:rPr>
              <w:t xml:space="preserve"> </w:t>
            </w:r>
            <w:r>
              <w:rPr>
                <w:color w:val="000000"/>
                <w:sz w:val="20"/>
                <w:szCs w:val="20"/>
              </w:rPr>
              <w:t xml:space="preserve">R:</w:t>
            </w:r>
            <w:r>
              <w:rPr>
                <w:color w:val="000000"/>
                <w:sz w:val="20"/>
                <w:szCs w:val="20"/>
              </w:rPr>
              <w:t xml:space="preserve"> </w:t>
            </w:r>
            <w:r>
              <w:rPr>
                <w:color w:val="000000"/>
                <w:sz w:val="20"/>
                <w:szCs w:val="20"/>
              </w:rPr>
              <w:t xml:space="preserve">generalized</w:t>
            </w:r>
            <w:r>
              <w:rPr>
                <w:color w:val="000000"/>
                <w:sz w:val="20"/>
                <w:szCs w:val="20"/>
              </w:rPr>
              <w:t xml:space="preserve"> </w:t>
            </w:r>
            <w:r>
              <w:rPr>
                <w:color w:val="000000"/>
                <w:sz w:val="20"/>
                <w:szCs w:val="20"/>
              </w:rPr>
              <w:t xml:space="preserve">linear</w:t>
            </w:r>
            <w:r>
              <w:rPr>
                <w:color w:val="000000"/>
                <w:sz w:val="20"/>
                <w:szCs w:val="20"/>
              </w:rPr>
              <w:t xml:space="preserve">, mixed </w:t>
            </w:r>
            <w:r>
              <w:rPr>
                <w:color w:val="000000"/>
                <w:sz w:val="20"/>
                <w:szCs w:val="20"/>
              </w:rPr>
              <w:t xml:space="preserve">effects</w:t>
            </w:r>
            <w:r>
              <w:rPr>
                <w:color w:val="000000"/>
                <w:sz w:val="20"/>
                <w:szCs w:val="20"/>
              </w:rPr>
              <w:t xml:space="preserve"> and </w:t>
            </w:r>
            <w:r>
              <w:rPr>
                <w:color w:val="000000"/>
                <w:sz w:val="20"/>
                <w:szCs w:val="20"/>
              </w:rPr>
              <w:t xml:space="preserve">nonparametric</w:t>
            </w:r>
            <w:r>
              <w:rPr>
                <w:color w:val="000000"/>
                <w:sz w:val="20"/>
                <w:szCs w:val="20"/>
              </w:rPr>
              <w:t xml:space="preserve"> </w:t>
            </w:r>
            <w:r>
              <w:rPr>
                <w:color w:val="000000"/>
                <w:sz w:val="20"/>
                <w:szCs w:val="20"/>
              </w:rPr>
              <w:t xml:space="preserve">regression</w:t>
            </w:r>
            <w:r>
              <w:rPr>
                <w:color w:val="000000"/>
                <w:sz w:val="20"/>
                <w:szCs w:val="20"/>
              </w:rPr>
              <w:t xml:space="preserve"> </w:t>
            </w:r>
            <w:r>
              <w:rPr>
                <w:color w:val="000000"/>
                <w:sz w:val="20"/>
                <w:szCs w:val="20"/>
              </w:rPr>
              <w:t xml:space="preserve">models</w:t>
            </w:r>
            <w:r>
              <w:rPr>
                <w:color w:val="000000"/>
                <w:sz w:val="20"/>
                <w:szCs w:val="20"/>
              </w:rPr>
              <w:t xml:space="preserve">. CRC </w:t>
            </w:r>
            <w:r>
              <w:rPr>
                <w:color w:val="000000"/>
                <w:sz w:val="20"/>
                <w:szCs w:val="20"/>
              </w:rPr>
              <w:t xml:space="preserve">press</w:t>
            </w:r>
            <w:r>
              <w:rPr>
                <w:color w:val="000000"/>
                <w:sz w:val="20"/>
                <w:szCs w:val="20"/>
              </w:rPr>
              <w:t xml:space="preserve">. </w:t>
            </w:r>
            <w:r>
              <w:rPr>
                <w:color w:val="000000"/>
                <w:sz w:val="20"/>
                <w:szCs w:val="20"/>
              </w:rPr>
            </w:r>
            <w:r>
              <w:rPr>
                <w:color w:val="000000"/>
                <w:sz w:val="20"/>
                <w:szCs w:val="20"/>
              </w:rPr>
            </w:r>
          </w:p>
          <w:p w14:paraId="1495217D" w14:textId="77777777">
            <w:pPr>
              <w:pBdr>
                <w:top w:val="none" w:color="000000" w:sz="4" w:space="0"/>
                <w:left w:val="none" w:color="000000" w:sz="4" w:space="0"/>
                <w:bottom w:val="none" w:color="000000" w:sz="4" w:space="0"/>
                <w:right w:val="none" w:color="000000" w:sz="4" w:space="0"/>
                <w:between w:val="none" w:color="000000" w:sz="4" w:space="0"/>
              </w:pBdr>
              <w:spacing/>
              <w:ind w:firstLine="0"/>
              <w:rPr>
                <w:color w:val="000000"/>
                <w:sz w:val="20"/>
                <w:szCs w:val="20"/>
              </w:rPr>
            </w:pPr>
            <w:r>
              <w:rPr>
                <w:color w:val="000000"/>
                <w:sz w:val="20"/>
                <w:szCs w:val="20"/>
              </w:rPr>
            </w:r>
            <w:r>
              <w:rPr>
                <w:color w:val="000000"/>
                <w:sz w:val="20"/>
                <w:szCs w:val="20"/>
              </w:rPr>
            </w:r>
            <w:r>
              <w:rPr>
                <w:color w:val="000000"/>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1CEF03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AE290F2" w14:textId="77777777">
            <w:pPr>
              <w:pBdr>
                <w:top w:val="none" w:color="000000" w:sz="4" w:space="0"/>
                <w:left w:val="none" w:color="000000" w:sz="4" w:space="0"/>
                <w:bottom w:val="none" w:color="000000" w:sz="4" w:space="0"/>
                <w:right w:val="none" w:color="000000" w:sz="4" w:space="0"/>
                <w:between w:val="none" w:color="000000" w:sz="4" w:space="0"/>
              </w:pBdr>
              <w:spacing/>
              <w:ind w:firstLine="0"/>
              <w:rPr>
                <w:color w:val="000000"/>
                <w:sz w:val="20"/>
                <w:szCs w:val="20"/>
              </w:rPr>
            </w:pPr>
            <w:r>
              <w:rPr>
                <w:color w:val="000000"/>
                <w:sz w:val="20"/>
                <w:szCs w:val="20"/>
              </w:rPr>
            </w:r>
            <w:r>
              <w:rPr>
                <w:color w:val="000000"/>
                <w:sz w:val="20"/>
                <w:szCs w:val="20"/>
              </w:rPr>
            </w:r>
            <w:r>
              <w:rPr>
                <w:color w:val="000000"/>
                <w:sz w:val="20"/>
                <w:szCs w:val="20"/>
              </w:rPr>
            </w:r>
          </w:p>
        </w:tc>
      </w:tr>
      <w:tr>
        <w:trPr/>
        <w:tc>
          <w:tcPr>
            <w:shd w:val="clear" w:color="auto" w:fill="auto"/>
            <w:tcBorders>
              <w:left w:val="single" w:color="000000" w:sz="4" w:space="0"/>
              <w:bottom w:val="single" w:color="000000" w:sz="4" w:space="0"/>
            </w:tcBorders>
            <w:tcW w:w="3402" w:type="dxa"/>
          </w:tcPr>
          <w:p w14:paraId="7CA6C71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obligatoire</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531D0C5" w14:textId="77777777">
            <w:pPr>
              <w:pBdr>
                <w:top w:val="none" w:color="000000" w:sz="4" w:space="0"/>
                <w:left w:val="none" w:color="000000" w:sz="4" w:space="0"/>
                <w:bottom w:val="none" w:color="000000" w:sz="4" w:space="0"/>
                <w:right w:val="none" w:color="000000" w:sz="4" w:space="0"/>
                <w:between w:val="none" w:color="000000" w:sz="4" w:space="0"/>
              </w:pBdr>
              <w:spacing/>
              <w:ind w:firstLine="0"/>
              <w:rPr>
                <w:color w:val="000000"/>
                <w:sz w:val="20"/>
                <w:szCs w:val="20"/>
              </w:rPr>
            </w:pPr>
            <w:r>
              <w:rPr>
                <w:color w:val="000000"/>
                <w:sz w:val="20"/>
                <w:szCs w:val="20"/>
              </w:rPr>
              <w:t xml:space="preserve">Avoir suivi les UE de statistiques de L1 et L2 ; utilisation de JASP et/ou JAMOVI</w:t>
            </w:r>
            <w:r>
              <w:rPr>
                <w:color w:val="000000"/>
                <w:sz w:val="20"/>
                <w:szCs w:val="20"/>
              </w:rPr>
            </w:r>
            <w:r>
              <w:rPr>
                <w:color w:val="000000"/>
                <w:sz w:val="20"/>
                <w:szCs w:val="20"/>
              </w:rPr>
            </w:r>
          </w:p>
        </w:tc>
      </w:tr>
      <w:tr>
        <w:trPr/>
        <w:tc>
          <w:tcPr>
            <w:shd w:val="clear" w:color="auto" w:fill="auto"/>
            <w:tcBorders>
              <w:left w:val="single" w:color="000000" w:sz="4" w:space="0"/>
              <w:bottom w:val="single" w:color="000000" w:sz="4" w:space="0"/>
            </w:tcBorders>
            <w:tcW w:w="3402" w:type="dxa"/>
          </w:tcPr>
          <w:p w14:paraId="6E023D8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recommandé</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7006028"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t xml:space="preserve">-</w:t>
            </w:r>
            <w:r/>
          </w:p>
        </w:tc>
      </w:tr>
      <w:tr>
        <w:trPr/>
        <w:tc>
          <w:tcPr>
            <w:shd w:val="clear" w:color="auto" w:fill="e6e6e6"/>
            <w:tcBorders>
              <w:top w:val="single" w:color="000000" w:sz="4" w:space="0"/>
              <w:left w:val="single" w:color="000000" w:sz="4" w:space="0"/>
              <w:bottom w:val="single" w:color="000000" w:sz="4" w:space="0"/>
            </w:tcBorders>
            <w:tcW w:w="3402" w:type="dxa"/>
          </w:tcPr>
          <w:p w14:paraId="038AE20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20EAEF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918F91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E17DCF4"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eastAsia="Liberation Sans" w:asciiTheme="majorHAnsi" w:hAnsiTheme="majorHAnsi" w:cstheme="majorHAnsi"/>
                <w:i/>
                <w:color w:val="000000" w:themeColor="text1"/>
                <w:sz w:val="20"/>
                <w:szCs w:val="20"/>
              </w:rPr>
              <w:t xml:space="preserve">Contrôle terminal</w:t>
            </w:r>
            <w:r/>
          </w:p>
        </w:tc>
      </w:tr>
    </w:tbl>
    <w:p w14:paraId="147E6B46" w14:textId="77777777">
      <w:pPr>
        <w:pBdr/>
        <w:spacing/>
        <w:ind/>
        <w:jc w:val="center"/>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28588249" w14:textId="77777777">
      <w:pPr>
        <w:pBdr/>
        <w:spacing/>
        <w:ind/>
        <w:jc w:val="center"/>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0935D8E" w14:textId="50E6264F">
      <w:pPr>
        <w:pBdr/>
        <w:spacing/>
        <w:ind/>
        <w:jc w:val="center"/>
        <w:rPr>
          <w:rFonts w:asciiTheme="majorHAnsi" w:hAnsiTheme="majorHAnsi" w:cstheme="majorHAnsi"/>
          <w:b/>
          <w:bCs/>
          <w:color w:val="000000" w:themeColor="text1"/>
          <w:sz w:val="20"/>
          <w:szCs w:val="20"/>
        </w:rPr>
      </w:pPr>
      <w:r>
        <w:rPr>
          <w:rFonts w:asciiTheme="majorHAnsi" w:hAnsiTheme="majorHAnsi" w:cstheme="majorHAnsi"/>
          <w:color w:val="000000" w:themeColor="text1"/>
          <w:sz w:val="20"/>
          <w:szCs w:val="20"/>
        </w:rPr>
        <w:br w:type="page" w:clear="all"/>
      </w:r>
      <w:r>
        <w:rPr>
          <w:rFonts w:asciiTheme="majorHAnsi" w:hAnsiTheme="majorHAnsi" w:cstheme="majorHAnsi"/>
          <w:b/>
          <w:bCs/>
          <w:color w:val="000000" w:themeColor="text1"/>
        </w:rPr>
        <w:t xml:space="preserve">ENSEIGNEMENTS DISCIPLINAIRES A CHOIX S5 </w:t>
      </w:r>
      <w:r>
        <w:rPr>
          <w:rFonts w:asciiTheme="majorHAnsi" w:hAnsiTheme="majorHAnsi" w:cstheme="majorHAnsi"/>
          <w:b/>
          <w:bCs/>
          <w:color w:val="ff0000"/>
        </w:rPr>
        <w:t xml:space="preserve">(</w:t>
      </w:r>
      <w:r>
        <w:rPr>
          <w:rFonts w:asciiTheme="majorHAnsi" w:hAnsiTheme="majorHAnsi" w:cstheme="majorHAnsi"/>
          <w:b/>
          <w:bCs/>
          <w:color w:val="ff0000"/>
        </w:rPr>
        <w:t xml:space="preserve">2</w:t>
      </w:r>
      <w:r>
        <w:rPr>
          <w:rFonts w:asciiTheme="majorHAnsi" w:hAnsiTheme="majorHAnsi" w:cstheme="majorHAnsi"/>
          <w:b/>
          <w:bCs/>
          <w:color w:val="ff0000"/>
        </w:rPr>
        <w:t xml:space="preserve"> choix)</w:t>
      </w:r>
      <w:r>
        <w:rPr>
          <w:rFonts w:asciiTheme="majorHAnsi" w:hAnsiTheme="majorHAnsi" w:cstheme="majorHAnsi"/>
          <w:b/>
          <w:bCs/>
          <w:color w:val="ff0000"/>
        </w:rPr>
        <w:t xml:space="preserve"> :</w:t>
      </w:r>
      <w:r>
        <w:rPr>
          <w:rFonts w:asciiTheme="majorHAnsi" w:hAnsiTheme="majorHAnsi" w:cstheme="majorHAnsi"/>
          <w:b/>
          <w:bCs/>
          <w:color w:val="000000" w:themeColor="text1"/>
          <w:sz w:val="20"/>
          <w:szCs w:val="20"/>
        </w:rPr>
      </w:r>
      <w:r>
        <w:rPr>
          <w:rFonts w:asciiTheme="majorHAnsi" w:hAnsiTheme="majorHAnsi" w:cstheme="majorHAnsi"/>
          <w:b/>
          <w:bCs/>
          <w:color w:val="000000" w:themeColor="text1"/>
          <w:sz w:val="20"/>
          <w:szCs w:val="20"/>
        </w:rPr>
      </w:r>
    </w:p>
    <w:p w14:paraId="0CD5A8CA" w14:textId="7BB91071">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tbl>
      <w:tblPr>
        <w:tblStyle w:val="1166"/>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778E7895" w14:textId="77777777">
            <w:pPr>
              <w:pBdr/>
              <w:spacing/>
              <w:ind/>
              <w:rPr>
                <w:rFonts w:asciiTheme="majorHAnsi" w:hAnsiTheme="majorHAnsi" w:cstheme="majorHAnsi"/>
                <w:b/>
                <w:color w:val="000000" w:themeColor="text1"/>
                <w:sz w:val="20"/>
                <w:szCs w:val="20"/>
              </w:rPr>
            </w:pPr>
            <w:r/>
            <w:bookmarkStart w:id="1" w:name="_Hlk169602272"/>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FB4DCA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5251293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0EA69AA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HPS6U37</w:t>
            </w:r>
            <w:r>
              <w:rPr>
                <w:rFonts w:eastAsia="Liberation Sans" w:asciiTheme="majorHAnsi" w:hAnsiTheme="majorHAnsi" w:cstheme="majorHAnsi"/>
                <w:b/>
                <w:color w:val="000000" w:themeColor="text1"/>
                <w:sz w:val="20"/>
                <w:szCs w:val="20"/>
                <w:highlight w:val="yellow"/>
              </w:rPr>
            </w:r>
            <w:r>
              <w:rPr>
                <w:rFonts w:eastAsia="Liberation Sans" w:asciiTheme="majorHAnsi" w:hAnsiTheme="majorHAnsi" w:cstheme="majorHAnsi"/>
                <w:b/>
                <w:color w:val="000000" w:themeColor="text1"/>
                <w:sz w:val="20"/>
                <w:szCs w:val="20"/>
                <w:highlight w:val="yellow"/>
              </w:rPr>
            </w:r>
          </w:p>
        </w:tc>
      </w:tr>
      <w:tr>
        <w:trPr/>
        <w:tc>
          <w:tcPr>
            <w:shd w:val="clear" w:color="auto" w:fill="auto"/>
            <w:tcBorders>
              <w:left w:val="single" w:color="000000" w:sz="4" w:space="0"/>
              <w:bottom w:val="single" w:color="000000" w:sz="4" w:space="0"/>
            </w:tcBorders>
            <w:tcW w:w="3402" w:type="dxa"/>
          </w:tcPr>
          <w:p w14:paraId="0DF43AF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D87D21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Clinique A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D0FDC0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479EE4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Psychopathologie adulte et enfant, psychanalyse, psychothérapies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54F598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02AF7F2" w14:textId="77777777">
            <w:pPr>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L’enseignement s’organise en deux séries de cours et de TD. L’une centrée sur la psychopathologie de l’enfant et de l’adolescent, l’autre centrée sur la psychopathologie de l’adulte.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4B76DF92" w14:textId="77777777">
            <w:pPr>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2A6BCA05" w14:textId="77777777">
            <w:pPr>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b/>
                <w:bCs/>
                <w:color w:val="000000" w:themeColor="text1"/>
                <w:sz w:val="20"/>
                <w:szCs w:val="20"/>
              </w:rPr>
              <w:t xml:space="preserve">I-</w:t>
            </w:r>
            <w:r>
              <w:rPr>
                <w:rFonts w:eastAsia="Liberation Sans" w:asciiTheme="majorHAnsi" w:hAnsiTheme="majorHAnsi" w:cstheme="majorHAnsi"/>
                <w:color w:val="000000" w:themeColor="text1"/>
                <w:sz w:val="20"/>
                <w:szCs w:val="20"/>
              </w:rPr>
              <w:t xml:space="preserve">Concernant la psychopathologie de l’enfant et de l’adolescent : </w:t>
            </w:r>
            <w:r>
              <w:rPr>
                <w:rFonts w:eastAsia="Liberation Sans" w:asciiTheme="majorHAnsi" w:hAnsiTheme="majorHAnsi" w:cstheme="majorHAnsi"/>
                <w:color w:val="000000" w:themeColor="text1"/>
                <w:sz w:val="20"/>
                <w:szCs w:val="20"/>
              </w:rPr>
              <w:t xml:space="preserve">Le fil rouge organisera dix cours et cinq TD.</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0431DD77" w14:textId="77777777">
            <w:pPr>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  - « L’enfant, la mère, et la langue » - nous permet d’aborder le large champ des relations précoces a</w:t>
            </w:r>
            <w:r>
              <w:rPr>
                <w:rFonts w:eastAsia="Liberation Sans" w:asciiTheme="majorHAnsi" w:hAnsiTheme="majorHAnsi" w:cstheme="majorHAnsi"/>
                <w:color w:val="000000" w:themeColor="text1"/>
                <w:sz w:val="20"/>
                <w:szCs w:val="20"/>
              </w:rPr>
              <w:t xml:space="preserve">vec les auteurs tels que D.-W. Winnicott, en passant par la question de la représentation et de la constitution (ou non constitution) du monde symbolique avec des auteurs tels que M. Klein, la latence, puis l’adolescence depuis Freud jusqu’à P. Gutton, J.-</w:t>
            </w:r>
            <w:r>
              <w:rPr>
                <w:rFonts w:eastAsia="Liberation Sans" w:asciiTheme="majorHAnsi" w:hAnsiTheme="majorHAnsi" w:cstheme="majorHAnsi"/>
                <w:color w:val="000000" w:themeColor="text1"/>
                <w:sz w:val="20"/>
                <w:szCs w:val="20"/>
              </w:rPr>
              <w:t xml:space="preserve">J.Rassial</w:t>
            </w:r>
            <w:r>
              <w:rPr>
                <w:rFonts w:eastAsia="Liberation Sans" w:asciiTheme="majorHAnsi" w:hAnsiTheme="majorHAnsi" w:cstheme="majorHAnsi"/>
                <w:color w:val="000000" w:themeColor="text1"/>
                <w:sz w:val="20"/>
                <w:szCs w:val="20"/>
              </w:rPr>
              <w:t xml:space="preserve"> et M. </w:t>
            </w:r>
            <w:r>
              <w:rPr>
                <w:rFonts w:eastAsia="Liberation Sans" w:asciiTheme="majorHAnsi" w:hAnsiTheme="majorHAnsi" w:cstheme="majorHAnsi"/>
                <w:color w:val="000000" w:themeColor="text1"/>
                <w:sz w:val="20"/>
                <w:szCs w:val="20"/>
              </w:rPr>
              <w:t xml:space="preserve">BenhaÏm</w:t>
            </w:r>
            <w:r>
              <w:rPr>
                <w:rFonts w:eastAsia="Liberation Sans" w:asciiTheme="majorHAnsi" w:hAnsiTheme="majorHAnsi" w:cstheme="majorHAnsi"/>
                <w:color w:val="000000" w:themeColor="text1"/>
                <w:sz w:val="20"/>
                <w:szCs w:val="20"/>
              </w:rPr>
              <w:t xml:space="preserve"> notamment. Les pathologies de l’enfant sont abordées à partir de la névrose, la psychose de l’autisme.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0809C1D3" w14:textId="77777777">
            <w:pPr>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Les </w:t>
            </w:r>
            <w:r>
              <w:rPr>
                <w:rFonts w:eastAsia="Liberation Sans" w:asciiTheme="majorHAnsi" w:hAnsiTheme="majorHAnsi" w:cstheme="majorHAnsi"/>
                <w:color w:val="000000" w:themeColor="text1"/>
                <w:sz w:val="20"/>
                <w:szCs w:val="20"/>
              </w:rPr>
              <w:t xml:space="preserve">TDs</w:t>
            </w:r>
            <w:r>
              <w:rPr>
                <w:rFonts w:eastAsia="Liberation Sans" w:asciiTheme="majorHAnsi" w:hAnsiTheme="majorHAnsi" w:cstheme="majorHAnsi"/>
                <w:color w:val="000000" w:themeColor="text1"/>
                <w:sz w:val="20"/>
                <w:szCs w:val="20"/>
              </w:rPr>
              <w:t xml:space="preserve"> sont l’occasion de tra</w:t>
            </w:r>
            <w:r>
              <w:rPr>
                <w:rFonts w:eastAsia="Liberation Sans" w:asciiTheme="majorHAnsi" w:hAnsiTheme="majorHAnsi" w:cstheme="majorHAnsi"/>
                <w:color w:val="000000" w:themeColor="text1"/>
                <w:sz w:val="20"/>
                <w:szCs w:val="20"/>
              </w:rPr>
              <w:t xml:space="preserve">vailler les textes des psychanalystes anglo-saxons, Winnicott mais surtout M. Klein, et successeurs, lesquels ont apporté un éclairage important dans le champ de la clinique de l’enfant, mais aussi dans le champ de la psychose et de l’autisme de l’enfant (</w:t>
            </w:r>
            <w:r>
              <w:rPr>
                <w:rFonts w:eastAsia="Liberation Sans" w:asciiTheme="majorHAnsi" w:hAnsiTheme="majorHAnsi" w:cstheme="majorHAnsi"/>
                <w:color w:val="000000" w:themeColor="text1"/>
                <w:sz w:val="20"/>
                <w:szCs w:val="20"/>
              </w:rPr>
              <w:t xml:space="preserve">Tustin</w:t>
            </w:r>
            <w:r>
              <w:rPr>
                <w:rFonts w:eastAsia="Liberation Sans" w:asciiTheme="majorHAnsi" w:hAnsiTheme="majorHAnsi" w:cstheme="majorHAnsi"/>
                <w:color w:val="000000" w:themeColor="text1"/>
                <w:sz w:val="20"/>
                <w:szCs w:val="20"/>
              </w:rPr>
              <w:t xml:space="preserve">, Meltzer, etc.).</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795D79D7" w14:textId="77777777">
            <w:pPr>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1218242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b/>
                <w:bCs/>
                <w:color w:val="000000" w:themeColor="text1"/>
                <w:sz w:val="20"/>
                <w:szCs w:val="20"/>
              </w:rPr>
              <w:t xml:space="preserve">II-</w:t>
            </w:r>
            <w:r>
              <w:rPr>
                <w:rFonts w:eastAsia="Liberation Sans" w:asciiTheme="majorHAnsi" w:hAnsiTheme="majorHAnsi" w:cstheme="majorHAnsi"/>
                <w:color w:val="000000" w:themeColor="text1"/>
                <w:sz w:val="20"/>
                <w:szCs w:val="20"/>
              </w:rPr>
              <w:t xml:space="preserve"> Concer</w:t>
            </w:r>
            <w:r>
              <w:rPr>
                <w:rFonts w:eastAsia="Liberation Sans" w:asciiTheme="majorHAnsi" w:hAnsiTheme="majorHAnsi" w:cstheme="majorHAnsi"/>
                <w:color w:val="000000" w:themeColor="text1"/>
                <w:sz w:val="20"/>
                <w:szCs w:val="20"/>
              </w:rPr>
              <w:t xml:space="preserve">n</w:t>
            </w:r>
            <w:r>
              <w:rPr>
                <w:rFonts w:eastAsia="Liberation Sans" w:asciiTheme="majorHAnsi" w:hAnsiTheme="majorHAnsi" w:cstheme="majorHAnsi"/>
                <w:color w:val="000000" w:themeColor="text1"/>
                <w:sz w:val="20"/>
                <w:szCs w:val="20"/>
              </w:rPr>
              <w:t xml:space="preserve">ant l’approche psychopathologique des adultes : </w:t>
            </w:r>
            <w:r>
              <w:rPr>
                <w:rFonts w:eastAsia="Liberation Sans" w:asciiTheme="majorHAnsi" w:hAnsiTheme="majorHAnsi" w:cstheme="majorHAnsi"/>
                <w:color w:val="000000" w:themeColor="text1"/>
                <w:sz w:val="20"/>
                <w:szCs w:val="20"/>
              </w:rPr>
              <w:t xml:space="preserve">Le fil rouge organisera dix cours et cinq TD.</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4330513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-Approche des grands paradigmes psychopathologiques, psychanalytiques et phénoménologiques dans la clinique</w:t>
            </w:r>
            <w:r>
              <w:rPr>
                <w:rFonts w:eastAsia="Liberation Sans" w:asciiTheme="majorHAnsi" w:hAnsiTheme="majorHAnsi" w:cstheme="majorHAnsi"/>
                <w:color w:val="000000" w:themeColor="text1"/>
                <w:sz w:val="20"/>
                <w:szCs w:val="20"/>
              </w:rPr>
              <w:t xml:space="preserve"> des névroses et des psychoses chez</w:t>
            </w:r>
            <w:r>
              <w:rPr>
                <w:rFonts w:eastAsia="Liberation Sans" w:asciiTheme="majorHAnsi" w:hAnsiTheme="majorHAnsi" w:cstheme="majorHAnsi"/>
                <w:color w:val="000000" w:themeColor="text1"/>
                <w:sz w:val="20"/>
                <w:szCs w:val="20"/>
              </w:rPr>
              <w:t xml:space="preserve"> l’adulte.</w:t>
            </w:r>
            <w:r>
              <w:rPr>
                <w:rFonts w:eastAsia="Liberation Sans" w:asciiTheme="majorHAnsi" w:hAnsiTheme="majorHAnsi" w:cstheme="majorHAnsi"/>
                <w:color w:val="000000" w:themeColor="text1"/>
                <w:sz w:val="20"/>
                <w:szCs w:val="20"/>
              </w:rPr>
              <w:t xml:space="preserve"> Chaque cours est articulé aux concepts majeurs des grands auteurs et particulièrement Freud, Binswanger, Klein, Winnicott, Lacan.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2FA8DC1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-Articulation entre concepts fondamentaux et construction des dispositifs cliniques et psychothérapeutiques au travers de grands cas d’adultes de la littérature psychanalytique</w:t>
            </w:r>
            <w:r>
              <w:rPr>
                <w:rFonts w:eastAsia="Liberation Sans" w:asciiTheme="majorHAnsi" w:hAnsiTheme="majorHAnsi" w:cstheme="majorHAnsi"/>
                <w:color w:val="000000" w:themeColor="text1"/>
                <w:sz w:val="20"/>
                <w:szCs w:val="20"/>
              </w:rPr>
              <w:t xml:space="preserve"> dans le cadre des TD.</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451C26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3F9AE01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6 ECTS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C907134"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C53B51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1A7C4C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C34E587" w14:textId="77777777">
            <w:pPr>
              <w:pStyle w:val="1201"/>
              <w:pBdr/>
              <w:spacing w:after="0" w:afterAutospacing="0" w:before="0" w:beforeAutospacing="0"/>
              <w:ind/>
              <w:rPr>
                <w:rFonts w:asciiTheme="majorHAnsi" w:hAnsiTheme="majorHAnsi" w:cstheme="majorHAnsi"/>
                <w:sz w:val="20"/>
                <w:szCs w:val="20"/>
              </w:rPr>
            </w:pPr>
            <w:r>
              <w:rPr>
                <w:rFonts w:asciiTheme="majorHAnsi" w:hAnsiTheme="majorHAnsi" w:cstheme="majorHAnsi"/>
                <w:color w:val="000000"/>
                <w:sz w:val="20"/>
                <w:szCs w:val="20"/>
              </w:rPr>
              <w:t xml:space="preserve">Compétences visées</w:t>
            </w:r>
            <w:r>
              <w:rPr>
                <w:rFonts w:asciiTheme="majorHAnsi" w:hAnsiTheme="majorHAnsi" w:cstheme="majorHAnsi"/>
                <w:color w:val="000000"/>
                <w:sz w:val="20"/>
                <w:szCs w:val="20"/>
              </w:rPr>
              <w:t xml:space="preserve"> </w:t>
            </w:r>
            <w:r>
              <w:rPr>
                <w:rFonts w:asciiTheme="majorHAnsi" w:hAnsiTheme="majorHAnsi" w:cstheme="majorHAnsi"/>
                <w:color w:val="000000"/>
                <w:sz w:val="20"/>
                <w:szCs w:val="20"/>
              </w:rPr>
              <w:t xml:space="preserve">:</w:t>
            </w:r>
            <w:r>
              <w:rPr>
                <w:rFonts w:asciiTheme="majorHAnsi" w:hAnsiTheme="majorHAnsi" w:cstheme="majorHAnsi"/>
                <w:sz w:val="20"/>
                <w:szCs w:val="20"/>
              </w:rPr>
            </w:r>
            <w:r>
              <w:rPr>
                <w:rFonts w:asciiTheme="majorHAnsi" w:hAnsiTheme="majorHAnsi" w:cstheme="majorHAnsi"/>
                <w:sz w:val="20"/>
                <w:szCs w:val="20"/>
              </w:rPr>
            </w:r>
          </w:p>
          <w:p w14:paraId="545640B6" w14:textId="77777777">
            <w:pPr>
              <w:pStyle w:val="1201"/>
              <w:numPr>
                <w:ilvl w:val="0"/>
                <w:numId w:val="24"/>
              </w:numPr>
              <w:pBdr/>
              <w:spacing w:after="0" w:afterAutospacing="0" w:before="0" w:beforeAutospacing="0"/>
              <w:ind/>
              <w:jc w:val="both"/>
              <w:rPr>
                <w:rFonts w:asciiTheme="majorHAnsi" w:hAnsiTheme="majorHAnsi" w:cstheme="majorHAnsi"/>
                <w:color w:val="000000"/>
                <w:sz w:val="20"/>
                <w:szCs w:val="20"/>
              </w:rPr>
            </w:pPr>
            <w:r>
              <w:rPr>
                <w:rFonts w:asciiTheme="majorHAnsi" w:hAnsiTheme="majorHAnsi" w:cstheme="majorHAnsi"/>
                <w:color w:val="000000"/>
                <w:sz w:val="20"/>
                <w:szCs w:val="20"/>
              </w:rPr>
              <w:t xml:space="preserve">Capacité à aborder la spécificité de la prise en charge des enfants et des adolescents et des adultes</w:t>
            </w:r>
            <w:r>
              <w:rPr>
                <w:rFonts w:asciiTheme="majorHAnsi" w:hAnsiTheme="majorHAnsi" w:cstheme="majorHAnsi"/>
                <w:color w:val="000000"/>
                <w:sz w:val="20"/>
                <w:szCs w:val="20"/>
              </w:rPr>
            </w:r>
            <w:r>
              <w:rPr>
                <w:rFonts w:asciiTheme="majorHAnsi" w:hAnsiTheme="majorHAnsi" w:cstheme="majorHAnsi"/>
                <w:color w:val="000000"/>
                <w:sz w:val="20"/>
                <w:szCs w:val="20"/>
              </w:rPr>
            </w:r>
          </w:p>
          <w:p w14:paraId="0BFD69B3" w14:textId="77777777">
            <w:pPr>
              <w:pStyle w:val="972"/>
              <w:numPr>
                <w:ilvl w:val="0"/>
                <w:numId w:val="24"/>
              </w:numPr>
              <w:pBdr>
                <w:bottom w:val="none" w:color="000000" w:sz="0" w:space="0"/>
              </w:pBdr>
              <w:tabs>
                <w:tab w:val="clear" w:leader="none" w:pos="720"/>
              </w:tabs>
              <w:spacing w:after="0" w:before="0"/>
              <w:ind/>
              <w:jc w:val="both"/>
              <w:rPr>
                <w:rFonts w:asciiTheme="majorHAnsi" w:hAnsiTheme="majorHAnsi" w:cstheme="majorHAnsi"/>
                <w:sz w:val="20"/>
                <w:szCs w:val="20"/>
              </w:rPr>
            </w:pPr>
            <w:r>
              <w:rPr>
                <w:rFonts w:asciiTheme="majorHAnsi" w:hAnsiTheme="majorHAnsi" w:cstheme="majorHAnsi"/>
                <w:b w:val="0"/>
                <w:sz w:val="20"/>
                <w:szCs w:val="20"/>
              </w:rPr>
              <w:t xml:space="preserve">Capacité à pouvoir présenter une analyse fine d’un texte à l’oral ou à l’écrit (en TD). </w:t>
            </w:r>
            <w:r>
              <w:rPr>
                <w:rFonts w:asciiTheme="majorHAnsi" w:hAnsiTheme="majorHAnsi" w:cstheme="majorHAnsi"/>
                <w:sz w:val="20"/>
                <w:szCs w:val="20"/>
              </w:rPr>
            </w:r>
            <w:r>
              <w:rPr>
                <w:rFonts w:asciiTheme="majorHAnsi" w:hAnsiTheme="majorHAnsi" w:cstheme="majorHAnsi"/>
                <w:sz w:val="20"/>
                <w:szCs w:val="20"/>
              </w:rPr>
            </w:r>
          </w:p>
          <w:p w14:paraId="13CCBADE" w14:textId="77777777">
            <w:pPr>
              <w:pStyle w:val="1201"/>
              <w:numPr>
                <w:ilvl w:val="0"/>
                <w:numId w:val="26"/>
              </w:numPr>
              <w:pBdr/>
              <w:spacing w:after="0" w:afterAutospacing="0" w:before="0" w:beforeAutospacing="0"/>
              <w:ind/>
              <w:jc w:val="both"/>
              <w:rPr>
                <w:rFonts w:asciiTheme="majorHAnsi" w:hAnsiTheme="majorHAnsi" w:cstheme="majorHAnsi"/>
                <w:color w:val="000000"/>
                <w:sz w:val="20"/>
                <w:szCs w:val="20"/>
              </w:rPr>
            </w:pPr>
            <w:r>
              <w:rPr>
                <w:rFonts w:asciiTheme="majorHAnsi" w:hAnsiTheme="majorHAnsi" w:cstheme="majorHAnsi"/>
                <w:color w:val="000000"/>
                <w:sz w:val="20"/>
                <w:szCs w:val="20"/>
              </w:rPr>
              <w:t xml:space="preserve">Capacité de réflexion sur une question concernant la psychopathologie de l’enfant, de l’adolescent et de l’adulte, et capacités à l’exprimer à l’écrit (CM)</w:t>
            </w:r>
            <w:r>
              <w:rPr>
                <w:rFonts w:asciiTheme="majorHAnsi" w:hAnsiTheme="majorHAnsi" w:cstheme="majorHAnsi"/>
                <w:color w:val="000000"/>
                <w:sz w:val="20"/>
                <w:szCs w:val="20"/>
              </w:rPr>
            </w:r>
            <w:r>
              <w:rPr>
                <w:rFonts w:asciiTheme="majorHAnsi" w:hAnsiTheme="majorHAnsi" w:cstheme="majorHAnsi"/>
                <w:color w:val="000000"/>
                <w:sz w:val="20"/>
                <w:szCs w:val="20"/>
              </w:rPr>
            </w:r>
          </w:p>
          <w:p w14:paraId="30298B06" w14:textId="77777777">
            <w:pPr>
              <w:pStyle w:val="1193"/>
              <w:numPr>
                <w:ilvl w:val="0"/>
                <w:numId w:val="26"/>
              </w:num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sz w:val="24"/>
                <w:szCs w:val="24"/>
              </w:rPr>
            </w:pPr>
            <w:r>
              <w:rPr>
                <w:rFonts w:asciiTheme="majorHAnsi" w:hAnsiTheme="majorHAnsi" w:cstheme="majorHAnsi"/>
                <w:sz w:val="20"/>
                <w:szCs w:val="20"/>
              </w:rPr>
              <w:t xml:space="preserve">Capacité à pouvoir discuter, à élaborer </w:t>
            </w:r>
            <w:r>
              <w:rPr>
                <w:rFonts w:asciiTheme="majorHAnsi" w:hAnsiTheme="majorHAnsi" w:cstheme="majorHAnsi"/>
                <w:sz w:val="20"/>
                <w:szCs w:val="20"/>
              </w:rPr>
              <w:t xml:space="preserve">une dissertation </w:t>
            </w:r>
            <w:r>
              <w:rPr>
                <w:rFonts w:asciiTheme="majorHAnsi" w:hAnsiTheme="majorHAnsi" w:cstheme="majorHAnsi"/>
                <w:sz w:val="20"/>
                <w:szCs w:val="20"/>
              </w:rPr>
              <w:t xml:space="preserve">à partir de concepts appris en CM et approfondis en TD ; début d’articulation théorico-clinique.</w:t>
            </w:r>
            <w:r>
              <w:rPr>
                <w:rFonts w:asciiTheme="majorHAnsi" w:hAnsiTheme="majorHAnsi" w:cstheme="majorHAnsi"/>
                <w:sz w:val="24"/>
                <w:szCs w:val="24"/>
              </w:rPr>
            </w:r>
            <w:r>
              <w:rPr>
                <w:rFonts w:asciiTheme="majorHAnsi" w:hAnsiTheme="majorHAnsi" w:cstheme="majorHAnsi"/>
                <w:sz w:val="24"/>
                <w:szCs w:val="24"/>
              </w:rPr>
            </w:r>
          </w:p>
          <w:p w14:paraId="44C73DB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Connaissances des grands paradigmes théoriques et </w:t>
            </w:r>
            <w:r>
              <w:rPr>
                <w:rFonts w:eastAsia="Liberation Sans" w:asciiTheme="majorHAnsi" w:hAnsiTheme="majorHAnsi" w:cstheme="majorHAnsi"/>
                <w:color w:val="000000" w:themeColor="text1"/>
                <w:sz w:val="20"/>
                <w:szCs w:val="20"/>
              </w:rPr>
              <w:t xml:space="preserve">d</w:t>
            </w:r>
            <w:r>
              <w:rPr>
                <w:rFonts w:eastAsia="Liberation Sans" w:asciiTheme="majorHAnsi" w:hAnsiTheme="majorHAnsi" w:cstheme="majorHAnsi"/>
                <w:color w:val="000000" w:themeColor="text1"/>
                <w:sz w:val="20"/>
                <w:szCs w:val="20"/>
              </w:rPr>
              <w:t xml:space="preserve">es méthodes des dispositifs cliniques et psychothérapeutiques.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2A9896B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Montrer comment la psychanalyse conduit à la construction du dispositif analytique ou à diverses formes de psychothérapies psychanalytiques et d’accompagnements pour les enfants, les adultes et les adolescents.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C5B0B4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BCB778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3B47D1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E30681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Responsables de L’UE :</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32175C0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Laetitia Petit : maria-laetitia.petit@univ-amu.fr</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45317E0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Christian Bonnet : christian.bonnet@univ-amu.fr</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AC757A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C7B88D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Michèle </w:t>
            </w:r>
            <w:r>
              <w:rPr>
                <w:rFonts w:eastAsia="Liberation Sans" w:asciiTheme="majorHAnsi" w:hAnsiTheme="majorHAnsi" w:cstheme="majorHAnsi"/>
                <w:color w:val="000000" w:themeColor="text1"/>
                <w:sz w:val="20"/>
                <w:szCs w:val="20"/>
              </w:rPr>
              <w:t xml:space="preserve">Benhaïm</w:t>
            </w:r>
            <w:r>
              <w:rPr>
                <w:rFonts w:eastAsia="Liberation Sans" w:asciiTheme="majorHAnsi" w:hAnsiTheme="majorHAnsi" w:cstheme="majorHAnsi"/>
                <w:color w:val="000000" w:themeColor="text1"/>
                <w:sz w:val="20"/>
                <w:szCs w:val="20"/>
              </w:rPr>
              <w:t xml:space="preserve">, Vincent </w:t>
            </w:r>
            <w:r>
              <w:rPr>
                <w:rFonts w:eastAsia="Liberation Sans" w:asciiTheme="majorHAnsi" w:hAnsiTheme="majorHAnsi" w:cstheme="majorHAnsi"/>
                <w:color w:val="000000" w:themeColor="text1"/>
                <w:sz w:val="20"/>
                <w:szCs w:val="20"/>
              </w:rPr>
              <w:t xml:space="preserve">Bréjard</w:t>
            </w:r>
            <w:r>
              <w:rPr>
                <w:rFonts w:eastAsia="Liberation Sans" w:asciiTheme="majorHAnsi" w:hAnsiTheme="majorHAnsi" w:cstheme="majorHAnsi"/>
                <w:color w:val="000000" w:themeColor="text1"/>
                <w:sz w:val="20"/>
                <w:szCs w:val="20"/>
              </w:rPr>
              <w:t xml:space="preserve">, Christian Bonnet, Fanny Chevalier, Isabel Fernandez, Nicolas Guérin, Laetitia Petit…</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60344B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w:t>
            </w:r>
            <w:r>
              <w:rPr>
                <w:rFonts w:eastAsia="Times New Roman"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t xml:space="preserve">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66F31BE"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Possibilité de solliciter les tuteurs.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72D3E7AA"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TD obligatoires dont les contenus seront indispensables pour la rédaction de l’examen final (dissertation).</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466B53F4"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1E808066"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20h de Cou</w:t>
            </w:r>
            <w:r>
              <w:rPr>
                <w:rFonts w:eastAsia="Liberation Sans" w:asciiTheme="majorHAnsi" w:hAnsiTheme="majorHAnsi" w:cstheme="majorHAnsi"/>
                <w:color w:val="000000" w:themeColor="text1"/>
                <w:sz w:val="20"/>
                <w:szCs w:val="20"/>
              </w:rPr>
              <w:t xml:space="preserve">rs en psychopathologie de l’enfant et de l’adolescent et 20h de cours en psychopathologie de l’adulte qui se dérouleront en parallèle sur 10 semaines. Pour les TD : 5 TD de psychopathologie de l’adulte alterneront avec 5 TD de psychopathologie de l’enfant.</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6BF613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0"/>
                <w:szCs w:val="20"/>
              </w:rPr>
            </w:pP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7010A0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0"/>
                <w:szCs w:val="20"/>
              </w:rPr>
            </w:pP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r>
              <w:rPr>
                <w:rFonts w:eastAsia="Liberation Sans" w:asciiTheme="majorHAnsi" w:hAnsiTheme="majorHAnsi" w:cstheme="majorHAnsi"/>
                <w:b/>
                <w:color w:val="000000" w:themeColor="text1"/>
                <w:sz w:val="10"/>
                <w:szCs w:val="20"/>
              </w:rPr>
            </w:r>
          </w:p>
        </w:tc>
      </w:tr>
      <w:tr>
        <w:trPr/>
        <w:tc>
          <w:tcPr>
            <w:shd w:val="clear" w:color="auto" w:fill="auto"/>
            <w:tcBorders>
              <w:left w:val="single" w:color="000000" w:sz="4" w:space="0"/>
              <w:bottom w:val="single" w:color="000000" w:sz="4" w:space="0"/>
            </w:tcBorders>
            <w:tcW w:w="3402" w:type="dxa"/>
          </w:tcPr>
          <w:p w14:paraId="5DAC60E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90D495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Français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DF4DEC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613D69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Psychologie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64C724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DC84CC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40 heures CM et 20 heures TD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4EA092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p w14:paraId="516D9E8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567124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Theme="majorHAnsi" w:hAnsiTheme="majorHAnsi" w:cstheme="majorHAnsi"/>
                <w:b/>
                <w:bCs/>
                <w:color w:val="000000" w:themeColor="text1"/>
                <w:sz w:val="20"/>
                <w:szCs w:val="20"/>
              </w:rPr>
            </w:pPr>
            <w:r>
              <w:rPr>
                <w:rFonts w:asciiTheme="majorHAnsi" w:hAnsiTheme="majorHAnsi" w:cstheme="majorHAnsi"/>
                <w:b/>
                <w:bCs/>
                <w:color w:val="000000" w:themeColor="text1"/>
                <w:sz w:val="20"/>
                <w:szCs w:val="20"/>
              </w:rPr>
              <w:t xml:space="preserve">Bibliographie succincte : </w:t>
            </w:r>
            <w:r>
              <w:rPr>
                <w:rFonts w:asciiTheme="majorHAnsi" w:hAnsiTheme="majorHAnsi" w:cstheme="majorHAnsi"/>
                <w:b/>
                <w:bCs/>
                <w:color w:val="000000" w:themeColor="text1"/>
                <w:sz w:val="20"/>
                <w:szCs w:val="20"/>
              </w:rPr>
            </w:r>
            <w:r>
              <w:rPr>
                <w:rFonts w:asciiTheme="majorHAnsi" w:hAnsiTheme="majorHAnsi" w:cstheme="majorHAnsi"/>
                <w:b/>
                <w:bCs/>
                <w:color w:val="000000" w:themeColor="text1"/>
                <w:sz w:val="20"/>
                <w:szCs w:val="20"/>
              </w:rPr>
            </w:r>
          </w:p>
          <w:p w14:paraId="0E353651" w14:textId="77777777">
            <w:pPr>
              <w:pBdr/>
              <w:spacing/>
              <w:ind w:firstLine="0"/>
              <w:jc w:val="both"/>
              <w:rPr>
                <w:rFonts w:asciiTheme="majorHAnsi" w:hAnsiTheme="majorHAnsi" w:cstheme="majorHAnsi"/>
                <w:color w:val="222222"/>
                <w:sz w:val="20"/>
                <w:szCs w:val="20"/>
              </w:rPr>
            </w:pPr>
            <w:r>
              <w:rPr>
                <w:rFonts w:asciiTheme="majorHAnsi" w:hAnsiTheme="majorHAnsi" w:cstheme="majorHAnsi"/>
                <w:color w:val="222222"/>
                <w:sz w:val="20"/>
                <w:szCs w:val="20"/>
              </w:rPr>
              <w:t xml:space="preserve">Psychopathologie enfant/adolescents et adultes : </w:t>
            </w:r>
            <w:r>
              <w:rPr>
                <w:rFonts w:asciiTheme="majorHAnsi" w:hAnsiTheme="majorHAnsi" w:cstheme="majorHAnsi"/>
                <w:color w:val="222222"/>
                <w:sz w:val="20"/>
                <w:szCs w:val="20"/>
              </w:rPr>
            </w:r>
            <w:r>
              <w:rPr>
                <w:rFonts w:asciiTheme="majorHAnsi" w:hAnsiTheme="majorHAnsi" w:cstheme="majorHAnsi"/>
                <w:color w:val="222222"/>
                <w:sz w:val="20"/>
                <w:szCs w:val="20"/>
              </w:rPr>
            </w:r>
          </w:p>
          <w:p w14:paraId="2A71731B" w14:textId="77777777">
            <w:pPr>
              <w:pBdr/>
              <w:spacing/>
              <w:ind w:firstLine="0"/>
              <w:jc w:val="both"/>
              <w:rPr>
                <w:rFonts w:asciiTheme="majorHAnsi" w:hAnsiTheme="majorHAnsi" w:cstheme="majorHAnsi"/>
                <w:color w:val="222222"/>
                <w:sz w:val="20"/>
                <w:szCs w:val="20"/>
              </w:rPr>
            </w:pPr>
            <w:r>
              <w:rPr>
                <w:rFonts w:asciiTheme="majorHAnsi" w:hAnsiTheme="majorHAnsi" w:cstheme="majorHAnsi"/>
                <w:color w:val="222222"/>
                <w:sz w:val="20"/>
                <w:szCs w:val="20"/>
              </w:rPr>
              <w:t xml:space="preserve">BINSWANGER, L., (1952), </w:t>
            </w:r>
            <w:r>
              <w:rPr>
                <w:rFonts w:asciiTheme="majorHAnsi" w:hAnsiTheme="majorHAnsi" w:cstheme="majorHAnsi"/>
                <w:i/>
                <w:color w:val="222222"/>
                <w:sz w:val="20"/>
                <w:szCs w:val="20"/>
              </w:rPr>
              <w:t xml:space="preserve">Le cas Suzanne Urban, </w:t>
            </w:r>
            <w:r>
              <w:rPr>
                <w:rFonts w:asciiTheme="majorHAnsi" w:hAnsiTheme="majorHAnsi" w:cstheme="majorHAnsi"/>
                <w:color w:val="222222"/>
                <w:sz w:val="20"/>
                <w:szCs w:val="20"/>
              </w:rPr>
              <w:t xml:space="preserve">Paris, Allia, 2019.</w:t>
            </w:r>
            <w:r>
              <w:rPr>
                <w:rFonts w:asciiTheme="majorHAnsi" w:hAnsiTheme="majorHAnsi" w:cstheme="majorHAnsi"/>
                <w:color w:val="222222"/>
                <w:sz w:val="20"/>
                <w:szCs w:val="20"/>
              </w:rPr>
            </w:r>
            <w:r>
              <w:rPr>
                <w:rFonts w:asciiTheme="majorHAnsi" w:hAnsiTheme="majorHAnsi" w:cstheme="majorHAnsi"/>
                <w:color w:val="222222"/>
                <w:sz w:val="20"/>
                <w:szCs w:val="20"/>
              </w:rPr>
            </w:r>
          </w:p>
          <w:p w14:paraId="5D5996B1" w14:textId="77777777">
            <w:pPr>
              <w:pBdr/>
              <w:spacing/>
              <w:ind w:firstLine="0"/>
              <w:jc w:val="both"/>
              <w:rPr>
                <w:rFonts w:asciiTheme="majorHAnsi" w:hAnsiTheme="majorHAnsi" w:cstheme="majorHAnsi"/>
                <w:color w:val="222222"/>
                <w:sz w:val="20"/>
                <w:szCs w:val="20"/>
              </w:rPr>
            </w:pPr>
            <w:r>
              <w:rPr>
                <w:rFonts w:asciiTheme="majorHAnsi" w:hAnsiTheme="majorHAnsi" w:cstheme="majorHAnsi"/>
                <w:color w:val="222222"/>
                <w:sz w:val="20"/>
                <w:szCs w:val="20"/>
              </w:rPr>
              <w:t xml:space="preserve">FREUD, S., (1905). </w:t>
            </w:r>
            <w:r>
              <w:rPr>
                <w:rFonts w:asciiTheme="majorHAnsi" w:hAnsiTheme="majorHAnsi" w:cstheme="majorHAnsi"/>
                <w:i/>
                <w:iCs/>
                <w:color w:val="222222"/>
                <w:sz w:val="20"/>
                <w:szCs w:val="20"/>
              </w:rPr>
              <w:t xml:space="preserve">Les trois essais sur la théorie sexuelle</w:t>
            </w:r>
            <w:r>
              <w:rPr>
                <w:rFonts w:asciiTheme="majorHAnsi" w:hAnsiTheme="majorHAnsi" w:cstheme="majorHAnsi"/>
                <w:color w:val="222222"/>
                <w:sz w:val="20"/>
                <w:szCs w:val="20"/>
              </w:rPr>
              <w:t xml:space="preserve">, </w:t>
            </w:r>
            <w:r>
              <w:rPr>
                <w:rFonts w:asciiTheme="majorHAnsi" w:hAnsiTheme="majorHAnsi" w:cstheme="majorHAnsi"/>
                <w:color w:val="202122"/>
                <w:sz w:val="20"/>
                <w:szCs w:val="20"/>
                <w:shd w:val="clear" w:color="auto" w:fill="ffffff"/>
              </w:rPr>
              <w:t xml:space="preserve">Paris, Gallimard, coll. « Folio », 1989.</w:t>
            </w:r>
            <w:r>
              <w:rPr>
                <w:rFonts w:asciiTheme="majorHAnsi" w:hAnsiTheme="majorHAnsi" w:cstheme="majorHAnsi"/>
                <w:color w:val="222222"/>
                <w:sz w:val="20"/>
                <w:szCs w:val="20"/>
              </w:rPr>
            </w:r>
            <w:r>
              <w:rPr>
                <w:rFonts w:asciiTheme="majorHAnsi" w:hAnsiTheme="majorHAnsi" w:cstheme="majorHAnsi"/>
                <w:color w:val="222222"/>
                <w:sz w:val="20"/>
                <w:szCs w:val="20"/>
              </w:rPr>
            </w:r>
          </w:p>
          <w:p w14:paraId="50F6F3DE" w14:textId="77777777">
            <w:pPr>
              <w:pBdr/>
              <w:spacing/>
              <w:ind w:firstLine="0"/>
              <w:jc w:val="both"/>
              <w:rPr>
                <w:rFonts w:asciiTheme="majorHAnsi" w:hAnsiTheme="majorHAnsi" w:cstheme="majorHAnsi"/>
                <w:color w:val="222222"/>
                <w:sz w:val="20"/>
                <w:szCs w:val="20"/>
              </w:rPr>
            </w:pPr>
            <w:r>
              <w:rPr>
                <w:rFonts w:asciiTheme="majorHAnsi" w:hAnsiTheme="majorHAnsi" w:cstheme="majorHAnsi"/>
                <w:color w:val="222222"/>
                <w:sz w:val="20"/>
                <w:szCs w:val="20"/>
              </w:rPr>
              <w:t xml:space="preserve">FREUD</w:t>
            </w:r>
            <w:r>
              <w:rPr>
                <w:rFonts w:asciiTheme="majorHAnsi" w:hAnsiTheme="majorHAnsi" w:cstheme="majorHAnsi"/>
                <w:color w:val="222222"/>
                <w:sz w:val="20"/>
                <w:szCs w:val="20"/>
              </w:rPr>
              <w:t xml:space="preserve">,</w:t>
            </w:r>
            <w:r>
              <w:rPr>
                <w:rFonts w:asciiTheme="majorHAnsi" w:hAnsiTheme="majorHAnsi" w:cstheme="majorHAnsi"/>
                <w:color w:val="222222"/>
                <w:sz w:val="20"/>
                <w:szCs w:val="20"/>
              </w:rPr>
              <w:t xml:space="preserve"> S., (1909), « Analyse d’une phobie chez un petit garçon de 5 ans », in </w:t>
            </w:r>
            <w:r>
              <w:rPr>
                <w:rFonts w:asciiTheme="majorHAnsi" w:hAnsiTheme="majorHAnsi" w:cstheme="majorHAnsi"/>
                <w:i/>
                <w:iCs/>
                <w:color w:val="222222"/>
                <w:sz w:val="20"/>
                <w:szCs w:val="20"/>
              </w:rPr>
              <w:t xml:space="preserve">Cinq Psychanalyses</w:t>
            </w:r>
            <w:r>
              <w:rPr>
                <w:rFonts w:asciiTheme="majorHAnsi" w:hAnsiTheme="majorHAnsi" w:cstheme="majorHAnsi"/>
                <w:color w:val="222222"/>
                <w:sz w:val="20"/>
                <w:szCs w:val="20"/>
              </w:rPr>
              <w:t xml:space="preserve">, Paris, PUF, 2003, pp.93-198</w:t>
            </w:r>
            <w:r>
              <w:rPr>
                <w:rFonts w:asciiTheme="majorHAnsi" w:hAnsiTheme="majorHAnsi" w:cstheme="majorHAnsi"/>
                <w:color w:val="222222"/>
                <w:sz w:val="20"/>
                <w:szCs w:val="20"/>
              </w:rPr>
            </w:r>
            <w:r>
              <w:rPr>
                <w:rFonts w:asciiTheme="majorHAnsi" w:hAnsiTheme="majorHAnsi" w:cstheme="majorHAnsi"/>
                <w:color w:val="222222"/>
                <w:sz w:val="20"/>
                <w:szCs w:val="20"/>
              </w:rPr>
            </w:r>
          </w:p>
          <w:p w14:paraId="2CF6773F" w14:textId="77777777">
            <w:pPr>
              <w:pStyle w:val="1201"/>
              <w:pBdr/>
              <w:shd w:val="clear" w:color="auto" w:fill="ffffff"/>
              <w:spacing w:after="0" w:afterAutospacing="0" w:before="0" w:beforeAutospacing="0"/>
              <w:ind/>
              <w:rPr>
                <w:rFonts w:asciiTheme="majorHAnsi" w:hAnsiTheme="majorHAnsi" w:cstheme="majorHAnsi"/>
                <w:color w:val="000000"/>
                <w:sz w:val="20"/>
                <w:szCs w:val="20"/>
              </w:rPr>
            </w:pPr>
            <w:r>
              <w:rPr>
                <w:rFonts w:asciiTheme="majorHAnsi" w:hAnsiTheme="majorHAnsi" w:cstheme="majorHAnsi"/>
                <w:color w:val="000000"/>
                <w:sz w:val="20"/>
                <w:szCs w:val="20"/>
              </w:rPr>
              <w:t xml:space="preserve">FREUD, S., </w:t>
            </w:r>
            <w:r>
              <w:rPr>
                <w:rFonts w:asciiTheme="majorHAnsi" w:hAnsiTheme="majorHAnsi" w:cstheme="majorHAnsi"/>
                <w:i/>
                <w:iCs/>
                <w:color w:val="000000"/>
                <w:sz w:val="20"/>
                <w:szCs w:val="20"/>
              </w:rPr>
              <w:t xml:space="preserve">Extrait de l’histoire d’une névrose infantile (L’homme aux loups)</w:t>
            </w:r>
            <w:r>
              <w:rPr>
                <w:rFonts w:asciiTheme="majorHAnsi" w:hAnsiTheme="majorHAnsi" w:cstheme="majorHAnsi"/>
                <w:color w:val="000000"/>
                <w:sz w:val="20"/>
                <w:szCs w:val="20"/>
              </w:rPr>
              <w:t xml:space="preserve">,</w:t>
            </w:r>
            <w:r>
              <w:rPr>
                <w:rFonts w:asciiTheme="majorHAnsi" w:hAnsiTheme="majorHAnsi" w:cstheme="majorHAnsi"/>
                <w:color w:val="000000"/>
                <w:sz w:val="20"/>
                <w:szCs w:val="20"/>
              </w:rPr>
              <w:t xml:space="preserve"> </w:t>
            </w:r>
            <w:r>
              <w:rPr>
                <w:rFonts w:asciiTheme="majorHAnsi" w:hAnsiTheme="majorHAnsi" w:cstheme="majorHAnsi"/>
                <w:color w:val="222222"/>
                <w:sz w:val="20"/>
                <w:szCs w:val="20"/>
              </w:rPr>
              <w:t xml:space="preserve">in </w:t>
            </w:r>
            <w:r>
              <w:rPr>
                <w:rFonts w:asciiTheme="majorHAnsi" w:hAnsiTheme="majorHAnsi" w:cstheme="majorHAnsi"/>
                <w:i/>
                <w:iCs/>
                <w:color w:val="222222"/>
                <w:sz w:val="20"/>
                <w:szCs w:val="20"/>
              </w:rPr>
              <w:t xml:space="preserve">Cinq Psychanalyses</w:t>
            </w:r>
            <w:r>
              <w:rPr>
                <w:rFonts w:asciiTheme="majorHAnsi" w:hAnsiTheme="majorHAnsi" w:cstheme="majorHAnsi"/>
                <w:color w:val="222222"/>
                <w:sz w:val="20"/>
                <w:szCs w:val="20"/>
              </w:rPr>
              <w:t xml:space="preserve">, Paris, PUF, 2003</w:t>
            </w:r>
            <w:r>
              <w:rPr>
                <w:rFonts w:asciiTheme="majorHAnsi" w:hAnsiTheme="majorHAnsi" w:cstheme="majorHAnsi"/>
                <w:color w:val="222222"/>
                <w:sz w:val="20"/>
                <w:szCs w:val="20"/>
              </w:rPr>
              <w:t xml:space="preserve">.</w:t>
            </w:r>
            <w:r>
              <w:rPr>
                <w:rFonts w:asciiTheme="majorHAnsi" w:hAnsiTheme="majorHAnsi" w:cstheme="majorHAnsi"/>
                <w:color w:val="000000"/>
                <w:sz w:val="20"/>
                <w:szCs w:val="20"/>
              </w:rPr>
            </w:r>
            <w:r>
              <w:rPr>
                <w:rFonts w:asciiTheme="majorHAnsi" w:hAnsiTheme="majorHAnsi" w:cstheme="majorHAnsi"/>
                <w:color w:val="000000"/>
                <w:sz w:val="20"/>
                <w:szCs w:val="20"/>
              </w:rPr>
            </w:r>
          </w:p>
          <w:p w14:paraId="06497F70" w14:textId="77777777">
            <w:pPr>
              <w:pBdr/>
              <w:spacing/>
              <w:ind w:firstLine="0"/>
              <w:jc w:val="both"/>
              <w:rPr>
                <w:rFonts w:asciiTheme="majorHAnsi" w:hAnsiTheme="majorHAnsi" w:cstheme="majorHAnsi"/>
                <w:color w:val="000000"/>
                <w:sz w:val="20"/>
                <w:szCs w:val="20"/>
              </w:rPr>
            </w:pPr>
            <w:r>
              <w:rPr>
                <w:rFonts w:asciiTheme="majorHAnsi" w:hAnsiTheme="majorHAnsi" w:cstheme="majorHAnsi"/>
                <w:color w:val="000000"/>
                <w:sz w:val="20"/>
                <w:szCs w:val="20"/>
              </w:rPr>
              <w:t xml:space="preserve">FREUD, S., </w:t>
            </w:r>
            <w:r>
              <w:rPr>
                <w:rFonts w:asciiTheme="majorHAnsi" w:hAnsiTheme="majorHAnsi" w:cstheme="majorHAnsi"/>
                <w:i/>
                <w:iCs/>
                <w:color w:val="000000"/>
                <w:sz w:val="20"/>
                <w:szCs w:val="20"/>
              </w:rPr>
              <w:t xml:space="preserve">Remarques sur un cas de névrose obsessionnelle</w:t>
            </w:r>
            <w:r>
              <w:rPr>
                <w:rFonts w:asciiTheme="majorHAnsi" w:hAnsiTheme="majorHAnsi" w:cstheme="majorHAnsi"/>
                <w:i/>
                <w:iCs/>
                <w:color w:val="000000"/>
                <w:sz w:val="20"/>
                <w:szCs w:val="20"/>
              </w:rPr>
              <w:t xml:space="preserve"> (L’homme aux </w:t>
            </w:r>
            <w:r>
              <w:rPr>
                <w:rFonts w:asciiTheme="majorHAnsi" w:hAnsiTheme="majorHAnsi" w:cstheme="majorHAnsi"/>
                <w:i/>
                <w:iCs/>
                <w:color w:val="000000"/>
                <w:sz w:val="20"/>
                <w:szCs w:val="20"/>
              </w:rPr>
              <w:t xml:space="preserve">rat</w:t>
            </w:r>
            <w:r>
              <w:rPr>
                <w:rFonts w:asciiTheme="majorHAnsi" w:hAnsiTheme="majorHAnsi" w:cstheme="majorHAnsi"/>
                <w:i/>
                <w:iCs/>
                <w:color w:val="000000"/>
                <w:sz w:val="20"/>
                <w:szCs w:val="20"/>
              </w:rPr>
              <w:t xml:space="preserve">s)</w:t>
            </w:r>
            <w:r>
              <w:rPr>
                <w:rFonts w:asciiTheme="majorHAnsi" w:hAnsiTheme="majorHAnsi" w:cstheme="majorHAnsi"/>
                <w:color w:val="000000"/>
                <w:sz w:val="20"/>
                <w:szCs w:val="20"/>
              </w:rPr>
              <w:t xml:space="preserve">,</w:t>
            </w:r>
            <w:r>
              <w:rPr>
                <w:rFonts w:asciiTheme="majorHAnsi" w:hAnsiTheme="majorHAnsi" w:cstheme="majorHAnsi"/>
                <w:color w:val="000000"/>
                <w:sz w:val="20"/>
                <w:szCs w:val="20"/>
              </w:rPr>
              <w:t xml:space="preserve"> </w:t>
            </w:r>
            <w:r>
              <w:rPr>
                <w:rFonts w:asciiTheme="majorHAnsi" w:hAnsiTheme="majorHAnsi" w:cstheme="majorHAnsi"/>
                <w:color w:val="222222"/>
                <w:sz w:val="20"/>
                <w:szCs w:val="20"/>
              </w:rPr>
              <w:t xml:space="preserve">in </w:t>
            </w:r>
            <w:r>
              <w:rPr>
                <w:rFonts w:asciiTheme="majorHAnsi" w:hAnsiTheme="majorHAnsi" w:cstheme="majorHAnsi"/>
                <w:i/>
                <w:iCs/>
                <w:color w:val="222222"/>
                <w:sz w:val="20"/>
                <w:szCs w:val="20"/>
              </w:rPr>
              <w:t xml:space="preserve">Cinq Psychanalyses</w:t>
            </w:r>
            <w:r>
              <w:rPr>
                <w:rFonts w:asciiTheme="majorHAnsi" w:hAnsiTheme="majorHAnsi" w:cstheme="majorHAnsi"/>
                <w:color w:val="222222"/>
                <w:sz w:val="20"/>
                <w:szCs w:val="20"/>
              </w:rPr>
              <w:t xml:space="preserve">, Paris, PUF, 2003</w:t>
            </w:r>
            <w:r>
              <w:rPr>
                <w:rFonts w:asciiTheme="majorHAnsi" w:hAnsiTheme="majorHAnsi" w:cstheme="majorHAnsi"/>
                <w:color w:val="222222"/>
                <w:sz w:val="20"/>
                <w:szCs w:val="20"/>
              </w:rPr>
              <w:t xml:space="preserve">.</w:t>
            </w:r>
            <w:r>
              <w:rPr>
                <w:rFonts w:asciiTheme="majorHAnsi" w:hAnsiTheme="majorHAnsi" w:cstheme="majorHAnsi"/>
                <w:color w:val="000000"/>
                <w:sz w:val="20"/>
                <w:szCs w:val="20"/>
              </w:rPr>
            </w:r>
            <w:r>
              <w:rPr>
                <w:rFonts w:asciiTheme="majorHAnsi" w:hAnsiTheme="majorHAnsi" w:cstheme="majorHAnsi"/>
                <w:color w:val="000000"/>
                <w:sz w:val="20"/>
                <w:szCs w:val="20"/>
              </w:rPr>
            </w:r>
          </w:p>
          <w:p w14:paraId="4CAA8D1B" w14:textId="77777777">
            <w:pPr>
              <w:pBdr/>
              <w:spacing/>
              <w:ind w:firstLine="0"/>
              <w:jc w:val="both"/>
              <w:rPr>
                <w:rFonts w:asciiTheme="majorHAnsi" w:hAnsiTheme="majorHAnsi" w:cstheme="majorHAnsi"/>
                <w:color w:val="222222"/>
                <w:sz w:val="20"/>
                <w:szCs w:val="20"/>
              </w:rPr>
            </w:pPr>
            <w:r>
              <w:rPr>
                <w:rFonts w:asciiTheme="majorHAnsi" w:hAnsiTheme="majorHAnsi" w:cstheme="majorHAnsi"/>
                <w:color w:val="000000"/>
                <w:sz w:val="20"/>
                <w:szCs w:val="20"/>
              </w:rPr>
              <w:t xml:space="preserve">KLEIN, M., (1945). </w:t>
            </w:r>
            <w:r>
              <w:rPr>
                <w:rFonts w:asciiTheme="majorHAnsi" w:hAnsiTheme="majorHAnsi" w:cstheme="majorHAnsi"/>
                <w:i/>
                <w:iCs/>
                <w:color w:val="000000"/>
                <w:sz w:val="20"/>
                <w:szCs w:val="20"/>
              </w:rPr>
              <w:t xml:space="preserve">Le Complexe d’Œdipe éclairé par les angoisses précoces</w:t>
            </w:r>
            <w:r>
              <w:rPr>
                <w:rFonts w:asciiTheme="majorHAnsi" w:hAnsiTheme="majorHAnsi" w:cstheme="majorHAnsi"/>
                <w:color w:val="000000"/>
                <w:sz w:val="20"/>
                <w:szCs w:val="20"/>
              </w:rPr>
              <w:t xml:space="preserve">, </w:t>
            </w:r>
            <w:r>
              <w:rPr>
                <w:rFonts w:asciiTheme="majorHAnsi" w:hAnsiTheme="majorHAnsi" w:cstheme="majorHAnsi"/>
                <w:color w:val="222222"/>
                <w:sz w:val="20"/>
                <w:szCs w:val="20"/>
              </w:rPr>
              <w:t xml:space="preserve">in </w:t>
            </w:r>
            <w:r>
              <w:rPr>
                <w:rFonts w:asciiTheme="majorHAnsi" w:hAnsiTheme="majorHAnsi" w:cstheme="majorHAnsi"/>
                <w:i/>
                <w:iCs/>
                <w:color w:val="222222"/>
                <w:sz w:val="20"/>
                <w:szCs w:val="20"/>
              </w:rPr>
              <w:t xml:space="preserve">Essais de psychanalyse, </w:t>
            </w:r>
            <w:r>
              <w:rPr>
                <w:rFonts w:asciiTheme="majorHAnsi" w:hAnsiTheme="majorHAnsi" w:cstheme="majorHAnsi"/>
                <w:color w:val="222222"/>
                <w:sz w:val="20"/>
                <w:szCs w:val="20"/>
              </w:rPr>
              <w:t xml:space="preserve">Paris, Payot, 1982, pp. </w:t>
            </w:r>
            <w:r>
              <w:rPr>
                <w:rFonts w:asciiTheme="majorHAnsi" w:hAnsiTheme="majorHAnsi" w:cstheme="majorHAnsi"/>
                <w:color w:val="222222"/>
                <w:sz w:val="20"/>
                <w:szCs w:val="20"/>
              </w:rPr>
              <w:t xml:space="preserve">370-424</w:t>
            </w:r>
            <w:r>
              <w:rPr>
                <w:rFonts w:asciiTheme="majorHAnsi" w:hAnsiTheme="majorHAnsi" w:cstheme="majorHAnsi"/>
                <w:color w:val="222222"/>
                <w:sz w:val="20"/>
                <w:szCs w:val="20"/>
              </w:rPr>
              <w:t xml:space="preserve">.</w:t>
            </w:r>
            <w:r>
              <w:rPr>
                <w:rFonts w:asciiTheme="majorHAnsi" w:hAnsiTheme="majorHAnsi" w:cstheme="majorHAnsi"/>
                <w:color w:val="222222"/>
                <w:sz w:val="20"/>
                <w:szCs w:val="20"/>
              </w:rPr>
            </w:r>
            <w:r>
              <w:rPr>
                <w:rFonts w:asciiTheme="majorHAnsi" w:hAnsiTheme="majorHAnsi" w:cstheme="majorHAnsi"/>
                <w:color w:val="222222"/>
                <w:sz w:val="20"/>
                <w:szCs w:val="20"/>
              </w:rPr>
            </w:r>
          </w:p>
          <w:p w14:paraId="45F41F19" w14:textId="77777777">
            <w:pPr>
              <w:pBdr/>
              <w:spacing/>
              <w:ind w:firstLine="0"/>
              <w:jc w:val="both"/>
              <w:rPr>
                <w:rFonts w:asciiTheme="majorHAnsi" w:hAnsiTheme="majorHAnsi" w:cstheme="majorHAnsi"/>
                <w:color w:val="222222"/>
                <w:sz w:val="20"/>
                <w:szCs w:val="20"/>
              </w:rPr>
            </w:pPr>
            <w:r>
              <w:rPr>
                <w:rFonts w:asciiTheme="majorHAnsi" w:hAnsiTheme="majorHAnsi" w:cstheme="majorHAnsi"/>
                <w:color w:val="000000"/>
                <w:sz w:val="20"/>
                <w:szCs w:val="20"/>
              </w:rPr>
              <w:t xml:space="preserve">KLEIN, M., </w:t>
            </w:r>
            <w:r>
              <w:rPr>
                <w:rFonts w:asciiTheme="majorHAnsi" w:hAnsiTheme="majorHAnsi" w:cstheme="majorHAnsi"/>
                <w:color w:val="000000"/>
                <w:sz w:val="20"/>
                <w:szCs w:val="20"/>
              </w:rPr>
              <w:t xml:space="preserve">(1930). </w:t>
            </w:r>
            <w:r>
              <w:rPr>
                <w:rFonts w:asciiTheme="majorHAnsi" w:hAnsiTheme="majorHAnsi" w:cstheme="majorHAnsi"/>
                <w:i/>
                <w:iCs/>
                <w:color w:val="000000"/>
                <w:sz w:val="20"/>
                <w:szCs w:val="20"/>
              </w:rPr>
              <w:t xml:space="preserve">La psychothérapie des psychoses</w:t>
            </w:r>
            <w:r>
              <w:rPr>
                <w:rFonts w:asciiTheme="majorHAnsi" w:hAnsiTheme="majorHAnsi" w:cstheme="majorHAnsi"/>
                <w:color w:val="000000"/>
                <w:sz w:val="20"/>
                <w:szCs w:val="20"/>
              </w:rPr>
              <w:t xml:space="preserve">, </w:t>
            </w:r>
            <w:r>
              <w:rPr>
                <w:rFonts w:asciiTheme="majorHAnsi" w:hAnsiTheme="majorHAnsi" w:cstheme="majorHAnsi"/>
                <w:color w:val="222222"/>
                <w:sz w:val="20"/>
                <w:szCs w:val="20"/>
              </w:rPr>
              <w:t xml:space="preserve">in </w:t>
            </w:r>
            <w:r>
              <w:rPr>
                <w:rFonts w:asciiTheme="majorHAnsi" w:hAnsiTheme="majorHAnsi" w:cstheme="majorHAnsi"/>
                <w:i/>
                <w:iCs/>
                <w:color w:val="222222"/>
                <w:sz w:val="20"/>
                <w:szCs w:val="20"/>
              </w:rPr>
              <w:t xml:space="preserve">Essais de psychanalyse, </w:t>
            </w:r>
            <w:r>
              <w:rPr>
                <w:rFonts w:asciiTheme="majorHAnsi" w:hAnsiTheme="majorHAnsi" w:cstheme="majorHAnsi"/>
                <w:color w:val="222222"/>
                <w:sz w:val="20"/>
                <w:szCs w:val="20"/>
              </w:rPr>
              <w:t xml:space="preserve">Paris, Payot, 1982, </w:t>
            </w:r>
            <w:r>
              <w:rPr>
                <w:rFonts w:asciiTheme="majorHAnsi" w:hAnsiTheme="majorHAnsi" w:cstheme="majorHAnsi"/>
                <w:color w:val="000000"/>
                <w:sz w:val="20"/>
                <w:szCs w:val="20"/>
              </w:rPr>
              <w:t xml:space="preserve">pp. 279-282.</w:t>
            </w:r>
            <w:r>
              <w:rPr>
                <w:rFonts w:asciiTheme="majorHAnsi" w:hAnsiTheme="majorHAnsi" w:cstheme="majorHAnsi"/>
                <w:color w:val="222222"/>
                <w:sz w:val="20"/>
                <w:szCs w:val="20"/>
              </w:rPr>
            </w:r>
            <w:r>
              <w:rPr>
                <w:rFonts w:asciiTheme="majorHAnsi" w:hAnsiTheme="majorHAnsi" w:cstheme="majorHAnsi"/>
                <w:color w:val="222222"/>
                <w:sz w:val="20"/>
                <w:szCs w:val="20"/>
              </w:rPr>
            </w:r>
          </w:p>
          <w:p w14:paraId="4159D733" w14:textId="77777777">
            <w:pPr>
              <w:pBdr/>
              <w:spacing/>
              <w:ind w:firstLine="0"/>
              <w:jc w:val="both"/>
              <w:rPr>
                <w:rFonts w:asciiTheme="majorHAnsi" w:hAnsiTheme="majorHAnsi" w:cstheme="majorHAnsi"/>
                <w:color w:val="222222"/>
                <w:sz w:val="20"/>
                <w:szCs w:val="20"/>
              </w:rPr>
            </w:pPr>
            <w:r>
              <w:rPr>
                <w:rFonts w:asciiTheme="majorHAnsi" w:hAnsiTheme="majorHAnsi" w:cstheme="majorHAnsi"/>
                <w:color w:val="222222"/>
                <w:sz w:val="20"/>
                <w:szCs w:val="20"/>
              </w:rPr>
              <w:t xml:space="preserve">KLEIN</w:t>
            </w:r>
            <w:r>
              <w:rPr>
                <w:rFonts w:asciiTheme="majorHAnsi" w:hAnsiTheme="majorHAnsi" w:cstheme="majorHAnsi"/>
                <w:color w:val="222222"/>
                <w:sz w:val="20"/>
                <w:szCs w:val="20"/>
              </w:rPr>
              <w:t xml:space="preserve">,</w:t>
            </w:r>
            <w:r>
              <w:rPr>
                <w:rFonts w:asciiTheme="majorHAnsi" w:hAnsiTheme="majorHAnsi" w:cstheme="majorHAnsi"/>
                <w:color w:val="222222"/>
                <w:sz w:val="20"/>
                <w:szCs w:val="20"/>
              </w:rPr>
              <w:t xml:space="preserve"> M., (1926), « Les principes psychologiques de l’analyse des jeunes enfants », in </w:t>
            </w:r>
            <w:r>
              <w:rPr>
                <w:rFonts w:asciiTheme="majorHAnsi" w:hAnsiTheme="majorHAnsi" w:cstheme="majorHAnsi"/>
                <w:i/>
                <w:iCs/>
                <w:color w:val="222222"/>
                <w:sz w:val="20"/>
                <w:szCs w:val="20"/>
              </w:rPr>
              <w:t xml:space="preserve">Essais de psychanalyse, </w:t>
            </w:r>
            <w:r>
              <w:rPr>
                <w:rFonts w:asciiTheme="majorHAnsi" w:hAnsiTheme="majorHAnsi" w:cstheme="majorHAnsi"/>
                <w:color w:val="222222"/>
                <w:sz w:val="20"/>
                <w:szCs w:val="20"/>
              </w:rPr>
              <w:t xml:space="preserve">Paris, Payot, pp. 166-177</w:t>
            </w:r>
            <w:r>
              <w:rPr>
                <w:rFonts w:asciiTheme="majorHAnsi" w:hAnsiTheme="majorHAnsi" w:cstheme="majorHAnsi"/>
                <w:color w:val="222222"/>
                <w:sz w:val="20"/>
                <w:szCs w:val="20"/>
              </w:rPr>
            </w:r>
            <w:r>
              <w:rPr>
                <w:rFonts w:asciiTheme="majorHAnsi" w:hAnsiTheme="majorHAnsi" w:cstheme="majorHAnsi"/>
                <w:color w:val="222222"/>
                <w:sz w:val="20"/>
                <w:szCs w:val="20"/>
              </w:rPr>
            </w:r>
          </w:p>
          <w:p w14:paraId="2EA1A68E" w14:textId="77777777">
            <w:pPr>
              <w:pBdr/>
              <w:spacing/>
              <w:ind w:firstLine="0"/>
              <w:jc w:val="both"/>
              <w:rPr>
                <w:rFonts w:asciiTheme="majorHAnsi" w:hAnsiTheme="majorHAnsi" w:cstheme="majorHAnsi"/>
                <w:color w:val="222222"/>
                <w:sz w:val="20"/>
                <w:szCs w:val="20"/>
              </w:rPr>
            </w:pPr>
            <w:r>
              <w:rPr>
                <w:rFonts w:asciiTheme="majorHAnsi" w:hAnsiTheme="majorHAnsi" w:cstheme="majorHAnsi"/>
                <w:color w:val="222222"/>
                <w:sz w:val="20"/>
                <w:szCs w:val="20"/>
              </w:rPr>
              <w:t xml:space="preserve">Et « Colloque sur l’analyse des enfants » (1927), </w:t>
            </w:r>
            <w:r>
              <w:rPr>
                <w:rFonts w:asciiTheme="majorHAnsi" w:hAnsiTheme="majorHAnsi" w:cstheme="majorHAnsi"/>
                <w:i/>
                <w:iCs/>
                <w:color w:val="222222"/>
                <w:sz w:val="20"/>
                <w:szCs w:val="20"/>
              </w:rPr>
              <w:t xml:space="preserve">ibid</w:t>
            </w:r>
            <w:r>
              <w:rPr>
                <w:rFonts w:asciiTheme="majorHAnsi" w:hAnsiTheme="majorHAnsi" w:cstheme="majorHAnsi"/>
                <w:color w:val="222222"/>
                <w:sz w:val="20"/>
                <w:szCs w:val="20"/>
              </w:rPr>
              <w:t xml:space="preserve">.</w:t>
            </w:r>
            <w:r>
              <w:rPr>
                <w:rFonts w:asciiTheme="majorHAnsi" w:hAnsiTheme="majorHAnsi" w:cstheme="majorHAnsi"/>
                <w:color w:val="222222"/>
                <w:sz w:val="20"/>
                <w:szCs w:val="20"/>
              </w:rPr>
            </w:r>
            <w:r>
              <w:rPr>
                <w:rFonts w:asciiTheme="majorHAnsi" w:hAnsiTheme="majorHAnsi" w:cstheme="majorHAnsi"/>
                <w:color w:val="222222"/>
                <w:sz w:val="20"/>
                <w:szCs w:val="20"/>
              </w:rPr>
            </w:r>
          </w:p>
          <w:p w14:paraId="0A7F6610" w14:textId="77777777">
            <w:pPr>
              <w:pBdr/>
              <w:spacing/>
              <w:ind w:firstLine="0"/>
              <w:jc w:val="both"/>
              <w:rPr>
                <w:rFonts w:asciiTheme="majorHAnsi" w:hAnsiTheme="majorHAnsi" w:cstheme="majorHAnsi"/>
                <w:color w:val="222222"/>
                <w:sz w:val="20"/>
                <w:szCs w:val="20"/>
              </w:rPr>
            </w:pPr>
            <w:r>
              <w:rPr>
                <w:rFonts w:asciiTheme="majorHAnsi" w:hAnsiTheme="majorHAnsi" w:cstheme="majorHAnsi"/>
                <w:sz w:val="20"/>
                <w:szCs w:val="20"/>
              </w:rPr>
              <w:t xml:space="preserve">KLEIN</w:t>
            </w:r>
            <w:r>
              <w:rPr>
                <w:rFonts w:asciiTheme="majorHAnsi" w:hAnsiTheme="majorHAnsi" w:cstheme="majorHAnsi"/>
                <w:sz w:val="20"/>
                <w:szCs w:val="20"/>
              </w:rPr>
              <w:t xml:space="preserve">,</w:t>
            </w:r>
            <w:r>
              <w:rPr>
                <w:rFonts w:asciiTheme="majorHAnsi" w:hAnsiTheme="majorHAnsi" w:cstheme="majorHAnsi"/>
                <w:sz w:val="20"/>
                <w:szCs w:val="20"/>
              </w:rPr>
              <w:t xml:space="preserve"> M.</w:t>
            </w:r>
            <w:r>
              <w:rPr>
                <w:rFonts w:asciiTheme="majorHAnsi" w:hAnsiTheme="majorHAnsi" w:cstheme="majorHAnsi"/>
                <w:sz w:val="20"/>
                <w:szCs w:val="20"/>
              </w:rPr>
              <w:t xml:space="preserve">,</w:t>
            </w:r>
            <w:r>
              <w:rPr>
                <w:rFonts w:asciiTheme="majorHAnsi" w:hAnsiTheme="majorHAnsi" w:cstheme="majorHAnsi"/>
                <w:sz w:val="20"/>
                <w:szCs w:val="20"/>
              </w:rPr>
              <w:t xml:space="preserve"> « Quelques conclusions théoriques au sujet de la vie émotionnelle des bébés », </w:t>
            </w:r>
            <w:r>
              <w:rPr>
                <w:rFonts w:asciiTheme="majorHAnsi" w:hAnsiTheme="majorHAnsi" w:cstheme="majorHAnsi"/>
                <w:i/>
                <w:iCs/>
                <w:sz w:val="20"/>
                <w:szCs w:val="20"/>
              </w:rPr>
              <w:t xml:space="preserve">in Développements de la psychanalyse, </w:t>
            </w:r>
            <w:r>
              <w:rPr>
                <w:rFonts w:asciiTheme="majorHAnsi" w:hAnsiTheme="majorHAnsi" w:cstheme="majorHAnsi"/>
                <w:sz w:val="20"/>
                <w:szCs w:val="20"/>
              </w:rPr>
              <w:t xml:space="preserve">Paris, PUF, </w:t>
            </w:r>
            <w:r>
              <w:rPr>
                <w:rFonts w:asciiTheme="majorHAnsi" w:hAnsiTheme="majorHAnsi" w:cstheme="majorHAnsi"/>
                <w:sz w:val="20"/>
                <w:szCs w:val="20"/>
              </w:rPr>
              <w:t xml:space="preserve">1966. E</w:t>
            </w:r>
            <w:r>
              <w:rPr>
                <w:rFonts w:asciiTheme="majorHAnsi" w:hAnsiTheme="majorHAnsi" w:cstheme="majorHAnsi"/>
                <w:sz w:val="20"/>
                <w:szCs w:val="20"/>
              </w:rPr>
              <w:t xml:space="preserve">xtrait choisi : chapitre sur la Position infantile dépressive (pp. 199-209)</w:t>
            </w:r>
            <w:r>
              <w:rPr>
                <w:rFonts w:asciiTheme="majorHAnsi" w:hAnsiTheme="majorHAnsi" w:cstheme="majorHAnsi"/>
                <w:sz w:val="20"/>
                <w:szCs w:val="20"/>
              </w:rPr>
              <w:t xml:space="preserve">.</w:t>
            </w:r>
            <w:r>
              <w:rPr>
                <w:rFonts w:asciiTheme="majorHAnsi" w:hAnsiTheme="majorHAnsi" w:cstheme="majorHAnsi"/>
                <w:color w:val="222222"/>
                <w:sz w:val="20"/>
                <w:szCs w:val="20"/>
              </w:rPr>
              <w:t xml:space="preserve"> </w:t>
            </w:r>
            <w:r>
              <w:rPr>
                <w:rFonts w:asciiTheme="majorHAnsi" w:hAnsiTheme="majorHAnsi" w:cstheme="majorHAnsi"/>
                <w:color w:val="222222"/>
                <w:sz w:val="20"/>
                <w:szCs w:val="20"/>
              </w:rPr>
            </w:r>
            <w:r>
              <w:rPr>
                <w:rFonts w:asciiTheme="majorHAnsi" w:hAnsiTheme="majorHAnsi" w:cstheme="majorHAnsi"/>
                <w:color w:val="222222"/>
                <w:sz w:val="20"/>
                <w:szCs w:val="20"/>
              </w:rPr>
            </w:r>
          </w:p>
          <w:p w14:paraId="547B2A6F" w14:textId="77777777">
            <w:pPr>
              <w:pBdr/>
              <w:spacing/>
              <w:ind w:firstLine="0"/>
              <w:jc w:val="both"/>
              <w:rPr>
                <w:rFonts w:asciiTheme="majorHAnsi" w:hAnsiTheme="majorHAnsi" w:cstheme="majorHAnsi"/>
                <w:color w:val="222222"/>
                <w:sz w:val="20"/>
                <w:szCs w:val="20"/>
              </w:rPr>
            </w:pPr>
            <w:r>
              <w:rPr>
                <w:rFonts w:asciiTheme="majorHAnsi" w:hAnsiTheme="majorHAnsi" w:cstheme="majorHAnsi"/>
                <w:color w:val="222222"/>
                <w:sz w:val="20"/>
                <w:szCs w:val="20"/>
              </w:rPr>
              <w:t xml:space="preserve">KLEIN</w:t>
            </w:r>
            <w:r>
              <w:rPr>
                <w:rFonts w:asciiTheme="majorHAnsi" w:hAnsiTheme="majorHAnsi" w:cstheme="majorHAnsi"/>
                <w:color w:val="222222"/>
                <w:sz w:val="20"/>
                <w:szCs w:val="20"/>
              </w:rPr>
              <w:t xml:space="preserve">,</w:t>
            </w:r>
            <w:r>
              <w:rPr>
                <w:rFonts w:asciiTheme="majorHAnsi" w:hAnsiTheme="majorHAnsi" w:cstheme="majorHAnsi"/>
                <w:color w:val="222222"/>
                <w:sz w:val="20"/>
                <w:szCs w:val="20"/>
              </w:rPr>
              <w:t xml:space="preserve"> M.</w:t>
            </w:r>
            <w:r>
              <w:rPr>
                <w:rFonts w:asciiTheme="majorHAnsi" w:hAnsiTheme="majorHAnsi" w:cstheme="majorHAnsi"/>
                <w:color w:val="222222"/>
                <w:sz w:val="20"/>
                <w:szCs w:val="20"/>
              </w:rPr>
              <w:t xml:space="preserve">,</w:t>
            </w:r>
            <w:r>
              <w:rPr>
                <w:rFonts w:asciiTheme="majorHAnsi" w:hAnsiTheme="majorHAnsi" w:cstheme="majorHAnsi"/>
                <w:color w:val="222222"/>
                <w:sz w:val="20"/>
                <w:szCs w:val="20"/>
              </w:rPr>
              <w:t xml:space="preserve"> (1930), « L’importance de la formation du symbole dans le développement du moi » in </w:t>
            </w:r>
            <w:r>
              <w:rPr>
                <w:rFonts w:asciiTheme="majorHAnsi" w:hAnsiTheme="majorHAnsi" w:cstheme="majorHAnsi"/>
                <w:i/>
                <w:iCs/>
                <w:color w:val="222222"/>
                <w:sz w:val="20"/>
                <w:szCs w:val="20"/>
              </w:rPr>
              <w:t xml:space="preserve">Essais de psychanalyse, </w:t>
            </w:r>
            <w:r>
              <w:rPr>
                <w:rFonts w:asciiTheme="majorHAnsi" w:hAnsiTheme="majorHAnsi" w:cstheme="majorHAnsi"/>
                <w:color w:val="222222"/>
                <w:sz w:val="20"/>
                <w:szCs w:val="20"/>
              </w:rPr>
              <w:t xml:space="preserve">Paris, Payot, 1982, pp. 263-278.</w:t>
            </w:r>
            <w:r>
              <w:rPr>
                <w:rFonts w:asciiTheme="majorHAnsi" w:hAnsiTheme="majorHAnsi" w:cstheme="majorHAnsi"/>
                <w:color w:val="222222"/>
                <w:sz w:val="20"/>
                <w:szCs w:val="20"/>
              </w:rPr>
            </w:r>
            <w:r>
              <w:rPr>
                <w:rFonts w:asciiTheme="majorHAnsi" w:hAnsiTheme="majorHAnsi" w:cstheme="majorHAnsi"/>
                <w:color w:val="222222"/>
                <w:sz w:val="20"/>
                <w:szCs w:val="20"/>
              </w:rPr>
            </w:r>
          </w:p>
          <w:p w14:paraId="1417CE20" w14:textId="77777777">
            <w:pPr>
              <w:pBdr/>
              <w:spacing/>
              <w:ind w:firstLine="0"/>
              <w:jc w:val="both"/>
              <w:rPr>
                <w:rFonts w:asciiTheme="majorHAnsi" w:hAnsiTheme="majorHAnsi" w:cstheme="majorHAnsi"/>
                <w:color w:val="222222"/>
                <w:sz w:val="20"/>
                <w:szCs w:val="20"/>
              </w:rPr>
            </w:pPr>
            <w:r>
              <w:rPr>
                <w:rFonts w:asciiTheme="majorHAnsi" w:hAnsiTheme="majorHAnsi" w:cstheme="majorHAnsi"/>
                <w:color w:val="222222"/>
                <w:sz w:val="20"/>
                <w:szCs w:val="20"/>
              </w:rPr>
              <w:t xml:space="preserve">KLEIN</w:t>
            </w:r>
            <w:r>
              <w:rPr>
                <w:rFonts w:asciiTheme="majorHAnsi" w:hAnsiTheme="majorHAnsi" w:cstheme="majorHAnsi"/>
                <w:color w:val="222222"/>
                <w:sz w:val="20"/>
                <w:szCs w:val="20"/>
              </w:rPr>
              <w:t xml:space="preserve">,</w:t>
            </w:r>
            <w:r>
              <w:rPr>
                <w:rFonts w:asciiTheme="majorHAnsi" w:hAnsiTheme="majorHAnsi" w:cstheme="majorHAnsi"/>
                <w:color w:val="222222"/>
                <w:sz w:val="20"/>
                <w:szCs w:val="20"/>
              </w:rPr>
              <w:t xml:space="preserve"> M.</w:t>
            </w:r>
            <w:r>
              <w:rPr>
                <w:rFonts w:asciiTheme="majorHAnsi" w:hAnsiTheme="majorHAnsi" w:cstheme="majorHAnsi"/>
                <w:color w:val="222222"/>
                <w:sz w:val="20"/>
                <w:szCs w:val="20"/>
              </w:rPr>
              <w:t xml:space="preserve">,</w:t>
            </w:r>
            <w:r>
              <w:rPr>
                <w:rFonts w:asciiTheme="majorHAnsi" w:hAnsiTheme="majorHAnsi" w:cstheme="majorHAnsi"/>
                <w:color w:val="222222"/>
                <w:sz w:val="20"/>
                <w:szCs w:val="20"/>
              </w:rPr>
              <w:t xml:space="preserve"> (1932), « Les fondements psychologiques de l’analyse des enfants » in </w:t>
            </w:r>
            <w:r>
              <w:rPr>
                <w:rFonts w:asciiTheme="majorHAnsi" w:hAnsiTheme="majorHAnsi" w:cstheme="majorHAnsi"/>
                <w:i/>
                <w:iCs/>
                <w:color w:val="222222"/>
                <w:sz w:val="20"/>
                <w:szCs w:val="20"/>
              </w:rPr>
              <w:t xml:space="preserve">La psychanalyse des enfants, </w:t>
            </w:r>
            <w:r>
              <w:rPr>
                <w:rFonts w:asciiTheme="majorHAnsi" w:hAnsiTheme="majorHAnsi" w:cstheme="majorHAnsi"/>
                <w:color w:val="222222"/>
                <w:sz w:val="20"/>
                <w:szCs w:val="20"/>
              </w:rPr>
              <w:t xml:space="preserve">Paris, PUF, 2009, pp. 15-27.</w:t>
            </w:r>
            <w:r>
              <w:rPr>
                <w:rFonts w:asciiTheme="majorHAnsi" w:hAnsiTheme="majorHAnsi" w:cstheme="majorHAnsi"/>
                <w:color w:val="222222"/>
                <w:sz w:val="20"/>
                <w:szCs w:val="20"/>
              </w:rPr>
            </w:r>
            <w:r>
              <w:rPr>
                <w:rFonts w:asciiTheme="majorHAnsi" w:hAnsiTheme="majorHAnsi" w:cstheme="majorHAnsi"/>
                <w:color w:val="222222"/>
                <w:sz w:val="20"/>
                <w:szCs w:val="20"/>
              </w:rPr>
            </w:r>
          </w:p>
          <w:p w14:paraId="704B6761" w14:textId="77777777">
            <w:pPr>
              <w:pBdr/>
              <w:spacing/>
              <w:ind w:firstLine="0"/>
              <w:jc w:val="both"/>
              <w:rPr>
                <w:rFonts w:asciiTheme="majorHAnsi" w:hAnsiTheme="majorHAnsi" w:cstheme="majorHAnsi"/>
                <w:sz w:val="20"/>
                <w:szCs w:val="20"/>
              </w:rPr>
            </w:pPr>
            <w:r>
              <w:rPr>
                <w:rFonts w:asciiTheme="majorHAnsi" w:hAnsiTheme="majorHAnsi" w:cstheme="majorHAnsi"/>
                <w:sz w:val="20"/>
                <w:szCs w:val="20"/>
              </w:rPr>
              <w:t xml:space="preserve">KLEIN</w:t>
            </w:r>
            <w:r>
              <w:rPr>
                <w:rFonts w:asciiTheme="majorHAnsi" w:hAnsiTheme="majorHAnsi" w:cstheme="majorHAnsi"/>
                <w:sz w:val="20"/>
                <w:szCs w:val="20"/>
              </w:rPr>
              <w:t xml:space="preserve">,</w:t>
            </w:r>
            <w:r>
              <w:rPr>
                <w:rFonts w:asciiTheme="majorHAnsi" w:hAnsiTheme="majorHAnsi" w:cstheme="majorHAnsi"/>
                <w:sz w:val="20"/>
                <w:szCs w:val="20"/>
              </w:rPr>
              <w:t xml:space="preserve"> </w:t>
            </w:r>
            <w:r>
              <w:rPr>
                <w:rFonts w:asciiTheme="majorHAnsi" w:hAnsiTheme="majorHAnsi" w:cstheme="majorHAnsi"/>
                <w:sz w:val="20"/>
                <w:szCs w:val="20"/>
              </w:rPr>
              <w:t xml:space="preserve">M</w:t>
            </w:r>
            <w:r>
              <w:rPr>
                <w:rFonts w:asciiTheme="majorHAnsi" w:hAnsiTheme="majorHAnsi" w:cstheme="majorHAnsi"/>
                <w:sz w:val="20"/>
                <w:szCs w:val="20"/>
              </w:rPr>
              <w:t xml:space="preserve">,</w:t>
            </w:r>
            <w:r>
              <w:rPr>
                <w:rFonts w:asciiTheme="majorHAnsi" w:hAnsiTheme="majorHAnsi" w:cstheme="majorHAnsi"/>
                <w:sz w:val="20"/>
                <w:szCs w:val="20"/>
              </w:rPr>
              <w:t xml:space="preserve">.</w:t>
            </w:r>
            <w:r>
              <w:rPr>
                <w:rFonts w:asciiTheme="majorHAnsi" w:hAnsiTheme="majorHAnsi" w:cstheme="majorHAnsi"/>
                <w:sz w:val="20"/>
                <w:szCs w:val="20"/>
              </w:rPr>
              <w:t xml:space="preserve"> (1946). « Notes sur quelques mécanismes schizoïdes », in </w:t>
            </w:r>
            <w:r>
              <w:rPr>
                <w:rFonts w:asciiTheme="majorHAnsi" w:hAnsiTheme="majorHAnsi" w:cstheme="majorHAnsi"/>
                <w:i/>
                <w:iCs/>
                <w:sz w:val="20"/>
                <w:szCs w:val="20"/>
              </w:rPr>
              <w:t xml:space="preserve">Développements de la psychanalyse, </w:t>
            </w:r>
            <w:r>
              <w:rPr>
                <w:rFonts w:asciiTheme="majorHAnsi" w:hAnsiTheme="majorHAnsi" w:cstheme="majorHAnsi"/>
                <w:sz w:val="20"/>
                <w:szCs w:val="20"/>
              </w:rPr>
              <w:t xml:space="preserve">Paris, PUF, p. 274-300. </w:t>
            </w:r>
            <w:r>
              <w:rPr>
                <w:rFonts w:asciiTheme="majorHAnsi" w:hAnsiTheme="majorHAnsi" w:cstheme="majorHAnsi"/>
                <w:sz w:val="20"/>
                <w:szCs w:val="20"/>
              </w:rPr>
            </w:r>
            <w:r>
              <w:rPr>
                <w:rFonts w:asciiTheme="majorHAnsi" w:hAnsiTheme="majorHAnsi" w:cstheme="majorHAnsi"/>
                <w:sz w:val="20"/>
                <w:szCs w:val="20"/>
              </w:rPr>
            </w:r>
          </w:p>
          <w:p w14:paraId="17C9F890" w14:textId="77777777">
            <w:pPr>
              <w:pBdr/>
              <w:spacing/>
              <w:ind w:firstLine="0"/>
              <w:jc w:val="both"/>
              <w:rPr>
                <w:rFonts w:asciiTheme="majorHAnsi" w:hAnsiTheme="majorHAnsi" w:cstheme="majorHAnsi"/>
                <w:sz w:val="20"/>
                <w:szCs w:val="20"/>
              </w:rPr>
            </w:pPr>
            <w:r>
              <w:rPr>
                <w:rFonts w:asciiTheme="majorHAnsi" w:hAnsiTheme="majorHAnsi" w:cstheme="majorHAnsi"/>
                <w:sz w:val="20"/>
                <w:szCs w:val="20"/>
              </w:rPr>
              <w:t xml:space="preserve">KLEIN</w:t>
            </w:r>
            <w:r>
              <w:rPr>
                <w:rFonts w:asciiTheme="majorHAnsi" w:hAnsiTheme="majorHAnsi" w:cstheme="majorHAnsi"/>
                <w:sz w:val="20"/>
                <w:szCs w:val="20"/>
              </w:rPr>
              <w:t xml:space="preserve">,</w:t>
            </w:r>
            <w:r>
              <w:rPr>
                <w:rFonts w:asciiTheme="majorHAnsi" w:hAnsiTheme="majorHAnsi" w:cstheme="majorHAnsi"/>
                <w:sz w:val="20"/>
                <w:szCs w:val="20"/>
              </w:rPr>
              <w:t xml:space="preserve"> M.</w:t>
            </w:r>
            <w:r>
              <w:rPr>
                <w:rFonts w:asciiTheme="majorHAnsi" w:hAnsiTheme="majorHAnsi" w:cstheme="majorHAnsi"/>
                <w:sz w:val="20"/>
                <w:szCs w:val="20"/>
              </w:rPr>
              <w:t xml:space="preserve">,</w:t>
            </w:r>
            <w:r>
              <w:rPr>
                <w:rFonts w:asciiTheme="majorHAnsi" w:hAnsiTheme="majorHAnsi" w:cstheme="majorHAnsi"/>
                <w:sz w:val="20"/>
                <w:szCs w:val="20"/>
              </w:rPr>
              <w:t xml:space="preserve"> (1959). « Se sentir seul », in </w:t>
            </w:r>
            <w:r>
              <w:rPr>
                <w:rFonts w:asciiTheme="majorHAnsi" w:hAnsiTheme="majorHAnsi" w:cstheme="majorHAnsi"/>
                <w:i/>
                <w:sz w:val="20"/>
                <w:szCs w:val="20"/>
              </w:rPr>
              <w:t xml:space="preserve">Envie et gratitude, </w:t>
            </w:r>
            <w:r>
              <w:rPr>
                <w:rFonts w:asciiTheme="majorHAnsi" w:hAnsiTheme="majorHAnsi" w:cstheme="majorHAnsi"/>
                <w:sz w:val="20"/>
                <w:szCs w:val="20"/>
              </w:rPr>
              <w:t xml:space="preserve">Paris, Gallimard, pp. 121-137</w:t>
            </w:r>
            <w:r>
              <w:rPr>
                <w:rFonts w:asciiTheme="majorHAnsi" w:hAnsiTheme="majorHAnsi" w:cstheme="majorHAnsi"/>
                <w:sz w:val="20"/>
                <w:szCs w:val="20"/>
              </w:rPr>
            </w:r>
            <w:r>
              <w:rPr>
                <w:rFonts w:asciiTheme="majorHAnsi" w:hAnsiTheme="majorHAnsi" w:cstheme="majorHAnsi"/>
                <w:sz w:val="20"/>
                <w:szCs w:val="20"/>
              </w:rPr>
            </w:r>
          </w:p>
          <w:p w14:paraId="3A517DC3" w14:textId="77777777">
            <w:pPr>
              <w:pBdr/>
              <w:spacing/>
              <w:ind w:firstLine="0"/>
              <w:jc w:val="both"/>
              <w:rPr>
                <w:rFonts w:asciiTheme="majorHAnsi" w:hAnsiTheme="majorHAnsi" w:cstheme="majorHAnsi"/>
                <w:color w:val="222222"/>
                <w:sz w:val="20"/>
                <w:szCs w:val="20"/>
              </w:rPr>
            </w:pPr>
            <w:r>
              <w:rPr>
                <w:rFonts w:asciiTheme="majorHAnsi" w:hAnsiTheme="majorHAnsi" w:cstheme="majorHAnsi"/>
                <w:color w:val="222222"/>
                <w:sz w:val="20"/>
                <w:szCs w:val="20"/>
              </w:rPr>
              <w:t xml:space="preserve">LACAN</w:t>
            </w:r>
            <w:r>
              <w:rPr>
                <w:rFonts w:asciiTheme="majorHAnsi" w:hAnsiTheme="majorHAnsi" w:cstheme="majorHAnsi"/>
                <w:color w:val="222222"/>
                <w:sz w:val="20"/>
                <w:szCs w:val="20"/>
              </w:rPr>
              <w:t xml:space="preserve">,</w:t>
            </w:r>
            <w:r>
              <w:rPr>
                <w:rFonts w:asciiTheme="majorHAnsi" w:hAnsiTheme="majorHAnsi" w:cstheme="majorHAnsi"/>
                <w:color w:val="222222"/>
                <w:sz w:val="20"/>
                <w:szCs w:val="20"/>
              </w:rPr>
              <w:t xml:space="preserve"> J.</w:t>
            </w:r>
            <w:r>
              <w:rPr>
                <w:rFonts w:asciiTheme="majorHAnsi" w:hAnsiTheme="majorHAnsi" w:cstheme="majorHAnsi"/>
                <w:color w:val="222222"/>
                <w:sz w:val="20"/>
                <w:szCs w:val="20"/>
              </w:rPr>
              <w:t xml:space="preserve">,</w:t>
            </w:r>
            <w:r>
              <w:rPr>
                <w:rFonts w:asciiTheme="majorHAnsi" w:hAnsiTheme="majorHAnsi" w:cstheme="majorHAnsi"/>
                <w:color w:val="222222"/>
                <w:sz w:val="20"/>
                <w:szCs w:val="20"/>
              </w:rPr>
              <w:t xml:space="preserve"> </w:t>
            </w:r>
            <w:r>
              <w:rPr>
                <w:rFonts w:asciiTheme="majorHAnsi" w:hAnsiTheme="majorHAnsi" w:cstheme="majorHAnsi"/>
                <w:i/>
                <w:iCs/>
                <w:color w:val="222222"/>
                <w:sz w:val="20"/>
                <w:szCs w:val="20"/>
              </w:rPr>
              <w:t xml:space="preserve">Le Séminaire, livre I :</w:t>
            </w:r>
            <w:r>
              <w:rPr>
                <w:rFonts w:asciiTheme="majorHAnsi" w:hAnsiTheme="majorHAnsi" w:cstheme="majorHAnsi"/>
                <w:color w:val="222222"/>
                <w:sz w:val="20"/>
                <w:szCs w:val="20"/>
              </w:rPr>
              <w:t xml:space="preserve"> </w:t>
            </w:r>
            <w:r>
              <w:rPr>
                <w:rFonts w:asciiTheme="majorHAnsi" w:hAnsiTheme="majorHAnsi" w:cstheme="majorHAnsi"/>
                <w:i/>
                <w:iCs/>
                <w:color w:val="222222"/>
                <w:sz w:val="20"/>
                <w:szCs w:val="20"/>
              </w:rPr>
              <w:t xml:space="preserve">Les </w:t>
            </w:r>
            <w:r>
              <w:rPr>
                <w:rFonts w:asciiTheme="majorHAnsi" w:hAnsiTheme="majorHAnsi" w:cstheme="majorHAnsi"/>
                <w:i/>
                <w:iCs/>
                <w:color w:val="222222"/>
                <w:sz w:val="20"/>
                <w:szCs w:val="20"/>
              </w:rPr>
              <w:t xml:space="preserve">É</w:t>
            </w:r>
            <w:r>
              <w:rPr>
                <w:rFonts w:asciiTheme="majorHAnsi" w:hAnsiTheme="majorHAnsi" w:cstheme="majorHAnsi"/>
                <w:i/>
                <w:iCs/>
                <w:color w:val="222222"/>
                <w:sz w:val="20"/>
                <w:szCs w:val="20"/>
              </w:rPr>
              <w:t xml:space="preserve">crits techniques de Freud</w:t>
            </w:r>
            <w:r>
              <w:rPr>
                <w:rFonts w:asciiTheme="majorHAnsi" w:hAnsiTheme="majorHAnsi" w:cstheme="majorHAnsi"/>
                <w:color w:val="222222"/>
                <w:sz w:val="20"/>
                <w:szCs w:val="20"/>
              </w:rPr>
              <w:t xml:space="preserve"> 1953-1954. Paris, Éditions du Seuil, 1975, Leçon VII 17 février 1954. (Commentaire du cas Dick) </w:t>
            </w:r>
            <w:r>
              <w:rPr>
                <w:rFonts w:asciiTheme="majorHAnsi" w:hAnsiTheme="majorHAnsi" w:cstheme="majorHAnsi"/>
                <w:color w:val="222222"/>
                <w:sz w:val="20"/>
                <w:szCs w:val="20"/>
              </w:rPr>
            </w:r>
            <w:r>
              <w:rPr>
                <w:rFonts w:asciiTheme="majorHAnsi" w:hAnsiTheme="majorHAnsi" w:cstheme="majorHAnsi"/>
                <w:color w:val="222222"/>
                <w:sz w:val="20"/>
                <w:szCs w:val="20"/>
              </w:rPr>
            </w:r>
          </w:p>
          <w:p w14:paraId="63526653" w14:textId="77777777">
            <w:pPr>
              <w:pBdr/>
              <w:spacing/>
              <w:ind w:firstLine="0"/>
              <w:jc w:val="both"/>
              <w:rPr>
                <w:rFonts w:asciiTheme="majorHAnsi" w:hAnsiTheme="majorHAnsi" w:cstheme="majorHAnsi"/>
                <w:color w:val="222222"/>
                <w:sz w:val="20"/>
                <w:szCs w:val="20"/>
              </w:rPr>
            </w:pPr>
            <w:r>
              <w:rPr>
                <w:rFonts w:asciiTheme="majorHAnsi" w:hAnsiTheme="majorHAnsi" w:cstheme="majorHAnsi"/>
                <w:color w:val="222222"/>
                <w:sz w:val="20"/>
                <w:szCs w:val="20"/>
              </w:rPr>
              <w:t xml:space="preserve">Lacan, J., (1956-1957). </w:t>
            </w:r>
            <w:r>
              <w:rPr>
                <w:rFonts w:asciiTheme="majorHAnsi" w:hAnsiTheme="majorHAnsi" w:cstheme="majorHAnsi"/>
                <w:i/>
                <w:iCs/>
                <w:color w:val="222222"/>
                <w:sz w:val="20"/>
                <w:szCs w:val="20"/>
              </w:rPr>
              <w:t xml:space="preserve">Le Séminaire, livre </w:t>
            </w:r>
            <w:r>
              <w:rPr>
                <w:rFonts w:asciiTheme="majorHAnsi" w:hAnsiTheme="majorHAnsi" w:cstheme="majorHAnsi"/>
                <w:i/>
                <w:iCs/>
                <w:color w:val="222222"/>
                <w:sz w:val="20"/>
                <w:szCs w:val="20"/>
              </w:rPr>
              <w:t xml:space="preserve">IV : La relation d’objet</w:t>
            </w:r>
            <w:r>
              <w:rPr>
                <w:rFonts w:asciiTheme="majorHAnsi" w:hAnsiTheme="majorHAnsi" w:cstheme="majorHAnsi"/>
                <w:color w:val="222222"/>
                <w:sz w:val="20"/>
                <w:szCs w:val="20"/>
              </w:rPr>
            </w:r>
            <w:r>
              <w:rPr>
                <w:rFonts w:asciiTheme="majorHAnsi" w:hAnsiTheme="majorHAnsi" w:cstheme="majorHAnsi"/>
                <w:color w:val="222222"/>
                <w:sz w:val="20"/>
                <w:szCs w:val="20"/>
              </w:rPr>
            </w:r>
          </w:p>
          <w:p w14:paraId="6B2C58BD" w14:textId="77777777">
            <w:pPr>
              <w:pBdr/>
              <w:spacing/>
              <w:ind w:firstLine="0"/>
              <w:jc w:val="both"/>
              <w:rPr>
                <w:rFonts w:asciiTheme="majorHAnsi" w:hAnsiTheme="majorHAnsi" w:cstheme="majorHAnsi"/>
                <w:i/>
                <w:iCs/>
                <w:color w:val="222222"/>
                <w:sz w:val="20"/>
                <w:szCs w:val="20"/>
              </w:rPr>
            </w:pPr>
            <w:r>
              <w:rPr>
                <w:rFonts w:asciiTheme="majorHAnsi" w:hAnsiTheme="majorHAnsi" w:cstheme="majorHAnsi"/>
                <w:color w:val="222222"/>
                <w:sz w:val="20"/>
                <w:szCs w:val="20"/>
              </w:rPr>
              <w:t xml:space="preserve">Lacan, (1957-1958). </w:t>
            </w:r>
            <w:r>
              <w:rPr>
                <w:rFonts w:asciiTheme="majorHAnsi" w:hAnsiTheme="majorHAnsi" w:cstheme="majorHAnsi"/>
                <w:i/>
                <w:iCs/>
                <w:color w:val="222222"/>
                <w:sz w:val="20"/>
                <w:szCs w:val="20"/>
              </w:rPr>
              <w:t xml:space="preserve">Le Séminaire, livre </w:t>
            </w:r>
            <w:r>
              <w:rPr>
                <w:rFonts w:asciiTheme="majorHAnsi" w:hAnsiTheme="majorHAnsi" w:cstheme="majorHAnsi"/>
                <w:i/>
                <w:iCs/>
                <w:color w:val="222222"/>
                <w:sz w:val="20"/>
                <w:szCs w:val="20"/>
              </w:rPr>
              <w:t xml:space="preserve">V</w:t>
            </w:r>
            <w:r>
              <w:rPr>
                <w:rFonts w:asciiTheme="majorHAnsi" w:hAnsiTheme="majorHAnsi" w:cstheme="majorHAnsi"/>
                <w:i/>
                <w:iCs/>
                <w:color w:val="222222"/>
                <w:sz w:val="20"/>
                <w:szCs w:val="20"/>
              </w:rPr>
              <w:t xml:space="preserve"> :</w:t>
            </w:r>
            <w:r>
              <w:rPr>
                <w:rFonts w:asciiTheme="majorHAnsi" w:hAnsiTheme="majorHAnsi" w:cstheme="majorHAnsi"/>
                <w:color w:val="222222"/>
                <w:sz w:val="20"/>
                <w:szCs w:val="20"/>
              </w:rPr>
              <w:t xml:space="preserve"> </w:t>
            </w:r>
            <w:r>
              <w:rPr>
                <w:rFonts w:asciiTheme="majorHAnsi" w:hAnsiTheme="majorHAnsi" w:cstheme="majorHAnsi"/>
                <w:i/>
                <w:iCs/>
                <w:color w:val="222222"/>
                <w:sz w:val="20"/>
                <w:szCs w:val="20"/>
              </w:rPr>
              <w:t xml:space="preserve">Les formations de l’inconscient</w:t>
            </w:r>
            <w:r>
              <w:rPr>
                <w:rFonts w:asciiTheme="majorHAnsi" w:hAnsiTheme="majorHAnsi" w:cstheme="majorHAnsi"/>
                <w:i/>
                <w:iCs/>
                <w:color w:val="222222"/>
                <w:sz w:val="20"/>
                <w:szCs w:val="20"/>
              </w:rPr>
            </w:r>
            <w:r>
              <w:rPr>
                <w:rFonts w:asciiTheme="majorHAnsi" w:hAnsiTheme="majorHAnsi" w:cstheme="majorHAnsi"/>
                <w:i/>
                <w:iCs/>
                <w:color w:val="222222"/>
                <w:sz w:val="20"/>
                <w:szCs w:val="20"/>
              </w:rPr>
            </w:r>
          </w:p>
          <w:p w14:paraId="1F553BA8" w14:textId="77777777">
            <w:pPr>
              <w:pBdr/>
              <w:spacing/>
              <w:ind w:firstLine="0"/>
              <w:jc w:val="both"/>
              <w:rPr>
                <w:rFonts w:asciiTheme="majorHAnsi" w:hAnsiTheme="majorHAnsi" w:cstheme="majorHAnsi"/>
                <w:color w:val="222222"/>
                <w:sz w:val="20"/>
                <w:szCs w:val="20"/>
                <w:lang w:val="en-US"/>
              </w:rPr>
            </w:pPr>
            <w:r>
              <w:rPr>
                <w:rFonts w:asciiTheme="majorHAnsi" w:hAnsiTheme="majorHAnsi" w:cstheme="majorHAnsi"/>
                <w:color w:val="222222"/>
                <w:sz w:val="20"/>
                <w:szCs w:val="20"/>
                <w:lang w:val="en-US"/>
              </w:rPr>
              <w:t xml:space="preserve">RHODE M. (2015). </w:t>
            </w:r>
            <w:r>
              <w:rPr>
                <w:rFonts w:asciiTheme="majorHAnsi" w:hAnsiTheme="majorHAnsi" w:cstheme="majorHAnsi"/>
                <w:color w:val="222222"/>
                <w:sz w:val="20"/>
                <w:szCs w:val="20"/>
                <w:lang w:val="en-US"/>
              </w:rPr>
              <w:t xml:space="preserve">« A Kleinian approach to the treatment of children with autism” </w:t>
            </w:r>
            <w:r>
              <w:rPr>
                <w:rFonts w:asciiTheme="majorHAnsi" w:hAnsiTheme="majorHAnsi" w:cstheme="majorHAnsi"/>
                <w:i/>
                <w:iCs/>
                <w:color w:val="222222"/>
                <w:sz w:val="20"/>
                <w:szCs w:val="20"/>
                <w:lang w:val="en-US"/>
              </w:rPr>
              <w:t xml:space="preserve">in</w:t>
            </w:r>
            <w:r>
              <w:rPr>
                <w:rFonts w:asciiTheme="majorHAnsi" w:hAnsiTheme="majorHAnsi" w:cstheme="majorHAnsi"/>
                <w:color w:val="222222"/>
                <w:sz w:val="20"/>
                <w:szCs w:val="20"/>
                <w:lang w:val="en-US"/>
              </w:rPr>
              <w:t xml:space="preserve"> BOROSSA J., BRONSTEIN C. &amp; PAJACZKOWSKA C. </w:t>
            </w:r>
            <w:r>
              <w:rPr>
                <w:rFonts w:asciiTheme="majorHAnsi" w:hAnsiTheme="majorHAnsi" w:cstheme="majorHAnsi"/>
                <w:i/>
                <w:iCs/>
                <w:color w:val="222222"/>
                <w:sz w:val="20"/>
                <w:szCs w:val="20"/>
                <w:lang w:val="en-US"/>
              </w:rPr>
              <w:t xml:space="preserve">The new Klein – Lacan Dialogues, </w:t>
            </w:r>
            <w:r>
              <w:rPr>
                <w:rFonts w:asciiTheme="majorHAnsi" w:hAnsiTheme="majorHAnsi" w:cstheme="majorHAnsi"/>
                <w:color w:val="222222"/>
                <w:sz w:val="20"/>
                <w:szCs w:val="20"/>
                <w:lang w:val="en-US"/>
              </w:rPr>
              <w:t xml:space="preserve">London, </w:t>
            </w:r>
            <w:r>
              <w:rPr>
                <w:rFonts w:asciiTheme="majorHAnsi" w:hAnsiTheme="majorHAnsi" w:cstheme="majorHAnsi"/>
                <w:color w:val="222222"/>
                <w:sz w:val="20"/>
                <w:szCs w:val="20"/>
                <w:lang w:val="en-US"/>
              </w:rPr>
              <w:t xml:space="preserve">Karnac</w:t>
            </w:r>
            <w:r>
              <w:rPr>
                <w:rFonts w:asciiTheme="majorHAnsi" w:hAnsiTheme="majorHAnsi" w:cstheme="majorHAnsi"/>
                <w:color w:val="222222"/>
                <w:sz w:val="20"/>
                <w:szCs w:val="20"/>
                <w:lang w:val="en-US"/>
              </w:rPr>
              <w:t xml:space="preserve">, pp. 201-216.</w:t>
            </w:r>
            <w:r>
              <w:rPr>
                <w:rFonts w:asciiTheme="majorHAnsi" w:hAnsiTheme="majorHAnsi" w:cstheme="majorHAnsi"/>
                <w:color w:val="222222"/>
                <w:sz w:val="20"/>
                <w:szCs w:val="20"/>
                <w:lang w:val="en-US"/>
              </w:rPr>
            </w:r>
            <w:r>
              <w:rPr>
                <w:rFonts w:asciiTheme="majorHAnsi" w:hAnsiTheme="majorHAnsi" w:cstheme="majorHAnsi"/>
                <w:color w:val="222222"/>
                <w:sz w:val="20"/>
                <w:szCs w:val="20"/>
                <w:lang w:val="en-US"/>
              </w:rPr>
            </w:r>
          </w:p>
          <w:p w14:paraId="23DE4C36" w14:textId="77777777">
            <w:pPr>
              <w:pBdr/>
              <w:spacing/>
              <w:ind w:firstLine="0"/>
              <w:jc w:val="both"/>
              <w:rPr>
                <w:rFonts w:asciiTheme="majorHAnsi" w:hAnsiTheme="majorHAnsi" w:cstheme="majorHAnsi"/>
                <w:sz w:val="20"/>
                <w:szCs w:val="20"/>
              </w:rPr>
            </w:pPr>
            <w:r>
              <w:rPr>
                <w:rFonts w:asciiTheme="majorHAnsi" w:hAnsiTheme="majorHAnsi" w:cstheme="majorHAnsi"/>
                <w:sz w:val="20"/>
                <w:szCs w:val="20"/>
              </w:rPr>
              <w:t xml:space="preserve">WINNICOTT D.-W., (1954) « </w:t>
            </w:r>
            <w:r>
              <w:rPr>
                <w:rFonts w:asciiTheme="majorHAnsi" w:hAnsiTheme="majorHAnsi" w:cstheme="majorHAnsi"/>
                <w:iCs/>
                <w:sz w:val="20"/>
                <w:szCs w:val="20"/>
              </w:rPr>
              <w:t xml:space="preserve">La position dépressive dans le développement affectif normal », </w:t>
            </w:r>
            <w:r>
              <w:rPr>
                <w:rFonts w:asciiTheme="majorHAnsi" w:hAnsiTheme="majorHAnsi" w:cstheme="majorHAnsi"/>
                <w:i/>
                <w:iCs/>
                <w:sz w:val="20"/>
                <w:szCs w:val="20"/>
              </w:rPr>
              <w:t xml:space="preserve">in</w:t>
            </w:r>
            <w:r>
              <w:rPr>
                <w:rFonts w:asciiTheme="majorHAnsi" w:hAnsiTheme="majorHAnsi" w:cstheme="majorHAnsi"/>
                <w:iCs/>
                <w:sz w:val="20"/>
                <w:szCs w:val="20"/>
              </w:rPr>
              <w:t xml:space="preserve"> </w:t>
            </w:r>
            <w:r>
              <w:rPr>
                <w:rFonts w:asciiTheme="majorHAnsi" w:hAnsiTheme="majorHAnsi" w:cstheme="majorHAnsi"/>
                <w:i/>
                <w:iCs/>
                <w:sz w:val="20"/>
                <w:szCs w:val="20"/>
              </w:rPr>
              <w:t xml:space="preserve">De la pédiatrie à la psychanalyse, </w:t>
            </w:r>
            <w:r>
              <w:rPr>
                <w:rFonts w:asciiTheme="majorHAnsi" w:hAnsiTheme="majorHAnsi" w:cstheme="majorHAnsi"/>
                <w:sz w:val="20"/>
                <w:szCs w:val="20"/>
              </w:rPr>
              <w:t xml:space="preserve">Paris, Payot </w:t>
            </w:r>
            <w:r>
              <w:rPr>
                <w:rFonts w:asciiTheme="majorHAnsi" w:hAnsiTheme="majorHAnsi" w:cstheme="majorHAnsi"/>
                <w:sz w:val="20"/>
                <w:szCs w:val="20"/>
              </w:rPr>
            </w:r>
            <w:r>
              <w:rPr>
                <w:rFonts w:asciiTheme="majorHAnsi" w:hAnsiTheme="majorHAnsi" w:cstheme="majorHAnsi"/>
                <w:sz w:val="20"/>
                <w:szCs w:val="20"/>
              </w:rPr>
            </w:r>
          </w:p>
          <w:p w14:paraId="221E8597" w14:textId="77777777">
            <w:pPr>
              <w:pStyle w:val="1202"/>
              <w:pBdr/>
              <w:spacing/>
              <w:ind/>
              <w:jc w:val="both"/>
              <w:rPr>
                <w:rFonts w:asciiTheme="majorHAnsi" w:hAnsiTheme="majorHAnsi" w:cstheme="majorHAnsi"/>
                <w:sz w:val="20"/>
                <w:szCs w:val="20"/>
              </w:rPr>
            </w:pPr>
            <w:r>
              <w:rPr>
                <w:rFonts w:asciiTheme="majorHAnsi" w:hAnsiTheme="majorHAnsi" w:cstheme="majorHAnsi"/>
                <w:sz w:val="20"/>
                <w:szCs w:val="20"/>
              </w:rPr>
              <w:t xml:space="preserve">WINNICOTT D. (1956), « Préoccupation maternelle primaire », in </w:t>
            </w:r>
            <w:r>
              <w:rPr>
                <w:rFonts w:asciiTheme="majorHAnsi" w:hAnsiTheme="majorHAnsi" w:cstheme="majorHAnsi"/>
                <w:i/>
                <w:sz w:val="20"/>
                <w:szCs w:val="20"/>
              </w:rPr>
              <w:t xml:space="preserve">De la pédiatrie à la psychanalyse, </w:t>
            </w:r>
            <w:r>
              <w:rPr>
                <w:rFonts w:asciiTheme="majorHAnsi" w:hAnsiTheme="majorHAnsi" w:cstheme="majorHAnsi"/>
                <w:sz w:val="20"/>
                <w:szCs w:val="20"/>
              </w:rPr>
              <w:t xml:space="preserve">Paris, Payot, pp.285-291. </w:t>
            </w:r>
            <w:r>
              <w:rPr>
                <w:rFonts w:asciiTheme="majorHAnsi" w:hAnsiTheme="majorHAnsi" w:cstheme="majorHAnsi"/>
                <w:sz w:val="20"/>
                <w:szCs w:val="20"/>
              </w:rPr>
            </w:r>
            <w:r>
              <w:rPr>
                <w:rFonts w:asciiTheme="majorHAnsi" w:hAnsiTheme="majorHAnsi" w:cstheme="majorHAnsi"/>
                <w:sz w:val="20"/>
                <w:szCs w:val="20"/>
              </w:rPr>
            </w:r>
          </w:p>
          <w:p w14:paraId="07F7C0C2" w14:textId="77777777">
            <w:pPr>
              <w:pBdr/>
              <w:spacing/>
              <w:ind w:firstLine="0"/>
              <w:jc w:val="both"/>
              <w:rPr>
                <w:rFonts w:asciiTheme="majorHAnsi" w:hAnsiTheme="majorHAnsi" w:cstheme="majorHAnsi"/>
                <w:color w:val="222222"/>
                <w:sz w:val="20"/>
                <w:szCs w:val="20"/>
              </w:rPr>
            </w:pPr>
            <w:r>
              <w:rPr>
                <w:rFonts w:asciiTheme="majorHAnsi" w:hAnsiTheme="majorHAnsi" w:cstheme="majorHAnsi"/>
                <w:color w:val="222222"/>
                <w:sz w:val="20"/>
                <w:szCs w:val="20"/>
              </w:rPr>
              <w:t xml:space="preserve">WINNICOTT D., (1960), « La ficelle : un aspect technique de la communication », in </w:t>
            </w:r>
            <w:r>
              <w:rPr>
                <w:rFonts w:asciiTheme="majorHAnsi" w:hAnsiTheme="majorHAnsi" w:cstheme="majorHAnsi"/>
                <w:i/>
                <w:iCs/>
                <w:color w:val="222222"/>
                <w:sz w:val="20"/>
                <w:szCs w:val="20"/>
              </w:rPr>
              <w:t xml:space="preserve">De la pédiatrie à la psychanalyse, </w:t>
            </w:r>
            <w:r>
              <w:rPr>
                <w:rFonts w:asciiTheme="majorHAnsi" w:hAnsiTheme="majorHAnsi" w:cstheme="majorHAnsi"/>
                <w:color w:val="222222"/>
                <w:sz w:val="20"/>
                <w:szCs w:val="20"/>
              </w:rPr>
              <w:t xml:space="preserve">Paris, Payot, pp.169-186</w:t>
            </w:r>
            <w:r>
              <w:rPr>
                <w:rFonts w:asciiTheme="majorHAnsi" w:hAnsiTheme="majorHAnsi" w:cstheme="majorHAnsi"/>
                <w:color w:val="222222"/>
                <w:sz w:val="20"/>
                <w:szCs w:val="20"/>
              </w:rPr>
            </w:r>
            <w:r>
              <w:rPr>
                <w:rFonts w:asciiTheme="majorHAnsi" w:hAnsiTheme="majorHAnsi" w:cstheme="majorHAnsi"/>
                <w:color w:val="222222"/>
                <w:sz w:val="20"/>
                <w:szCs w:val="20"/>
              </w:rPr>
            </w:r>
          </w:p>
          <w:p w14:paraId="46AA9038" w14:textId="77777777">
            <w:pPr>
              <w:pBdr/>
              <w:spacing/>
              <w:ind w:firstLine="0"/>
              <w:jc w:val="both"/>
              <w:rPr>
                <w:rFonts w:asciiTheme="majorHAnsi" w:hAnsiTheme="majorHAnsi" w:cstheme="majorHAnsi"/>
                <w:sz w:val="20"/>
                <w:szCs w:val="20"/>
              </w:rPr>
            </w:pPr>
            <w:r>
              <w:rPr>
                <w:rFonts w:asciiTheme="majorHAnsi" w:hAnsiTheme="majorHAnsi" w:cstheme="majorHAnsi"/>
                <w:sz w:val="20"/>
                <w:szCs w:val="20"/>
              </w:rPr>
              <w:t xml:space="preserve">WINICOTT D.-W. (1958). « La capacité d’être seul », in </w:t>
            </w:r>
            <w:r>
              <w:rPr>
                <w:rFonts w:asciiTheme="majorHAnsi" w:hAnsiTheme="majorHAnsi" w:cstheme="majorHAnsi"/>
                <w:i/>
                <w:sz w:val="20"/>
                <w:szCs w:val="20"/>
              </w:rPr>
              <w:t xml:space="preserve">De la pédiatrie à la psychanalyse, </w:t>
            </w:r>
            <w:r>
              <w:rPr>
                <w:rFonts w:asciiTheme="majorHAnsi" w:hAnsiTheme="majorHAnsi" w:cstheme="majorHAnsi"/>
                <w:sz w:val="20"/>
                <w:szCs w:val="20"/>
              </w:rPr>
              <w:t xml:space="preserve">Paris, Payot, pp. 325-33</w:t>
            </w:r>
            <w:r>
              <w:rPr>
                <w:rFonts w:asciiTheme="majorHAnsi" w:hAnsiTheme="majorHAnsi" w:cstheme="majorHAnsi"/>
                <w:sz w:val="20"/>
                <w:szCs w:val="20"/>
              </w:rPr>
            </w:r>
            <w:r>
              <w:rPr>
                <w:rFonts w:asciiTheme="majorHAnsi" w:hAnsiTheme="majorHAnsi" w:cstheme="majorHAnsi"/>
                <w:sz w:val="20"/>
                <w:szCs w:val="20"/>
              </w:rPr>
            </w:r>
          </w:p>
          <w:p w14:paraId="186B8199" w14:textId="77777777">
            <w:pPr>
              <w:pBdr/>
              <w:spacing/>
              <w:ind w:firstLine="0"/>
              <w:jc w:val="both"/>
              <w:rPr>
                <w:rFonts w:asciiTheme="majorHAnsi" w:hAnsiTheme="majorHAnsi" w:cstheme="majorHAnsi"/>
                <w:color w:val="222222"/>
                <w:sz w:val="20"/>
                <w:szCs w:val="20"/>
              </w:rPr>
            </w:pPr>
            <w:r>
              <w:rPr>
                <w:rFonts w:asciiTheme="majorHAnsi" w:hAnsiTheme="majorHAnsi" w:cstheme="majorHAnsi"/>
                <w:color w:val="222222"/>
                <w:sz w:val="20"/>
                <w:szCs w:val="20"/>
              </w:rPr>
              <w:t xml:space="preserve">WINNICOTT D., </w:t>
            </w:r>
            <w:r>
              <w:rPr>
                <w:rFonts w:asciiTheme="majorHAnsi" w:hAnsiTheme="majorHAnsi" w:cstheme="majorHAnsi"/>
                <w:color w:val="222222"/>
                <w:sz w:val="20"/>
                <w:szCs w:val="20"/>
              </w:rPr>
              <w:t xml:space="preserve">(1975). </w:t>
            </w:r>
            <w:r>
              <w:rPr>
                <w:rFonts w:asciiTheme="majorHAnsi" w:hAnsiTheme="majorHAnsi" w:cstheme="majorHAnsi"/>
                <w:color w:val="222222"/>
                <w:sz w:val="20"/>
                <w:szCs w:val="20"/>
              </w:rPr>
              <w:t xml:space="preserve">« Objets et phénomènes transitionnels », in </w:t>
            </w:r>
            <w:r>
              <w:rPr>
                <w:rFonts w:asciiTheme="majorHAnsi" w:hAnsiTheme="majorHAnsi" w:cstheme="majorHAnsi"/>
                <w:i/>
                <w:iCs/>
                <w:color w:val="222222"/>
                <w:sz w:val="20"/>
                <w:szCs w:val="20"/>
              </w:rPr>
              <w:t xml:space="preserve">Jeu et Réalité, </w:t>
            </w:r>
            <w:r>
              <w:rPr>
                <w:rFonts w:asciiTheme="majorHAnsi" w:hAnsiTheme="majorHAnsi" w:cstheme="majorHAnsi"/>
                <w:color w:val="222222"/>
                <w:sz w:val="20"/>
                <w:szCs w:val="20"/>
              </w:rPr>
              <w:t xml:space="preserve">Paris, Gallimard, </w:t>
            </w:r>
            <w:r>
              <w:rPr>
                <w:rFonts w:asciiTheme="majorHAnsi" w:hAnsiTheme="majorHAnsi" w:cstheme="majorHAnsi"/>
                <w:color w:val="222222"/>
                <w:sz w:val="20"/>
                <w:szCs w:val="20"/>
              </w:rPr>
              <w:t xml:space="preserve">2002,</w:t>
            </w:r>
            <w:r>
              <w:rPr>
                <w:rFonts w:asciiTheme="majorHAnsi" w:hAnsiTheme="majorHAnsi" w:cstheme="majorHAnsi"/>
                <w:color w:val="222222"/>
                <w:sz w:val="20"/>
                <w:szCs w:val="20"/>
              </w:rPr>
              <w:t xml:space="preserve"> pp.27-57</w:t>
            </w:r>
            <w:r>
              <w:rPr>
                <w:rFonts w:asciiTheme="majorHAnsi" w:hAnsiTheme="majorHAnsi" w:cstheme="majorHAnsi"/>
                <w:color w:val="222222"/>
                <w:sz w:val="20"/>
                <w:szCs w:val="20"/>
              </w:rPr>
            </w:r>
            <w:r>
              <w:rPr>
                <w:rFonts w:asciiTheme="majorHAnsi" w:hAnsiTheme="majorHAnsi" w:cstheme="majorHAnsi"/>
                <w:color w:val="222222"/>
                <w:sz w:val="20"/>
                <w:szCs w:val="20"/>
              </w:rPr>
            </w:r>
          </w:p>
          <w:p w14:paraId="6F578878" w14:textId="77777777">
            <w:pPr>
              <w:pBdr/>
              <w:spacing/>
              <w:ind w:firstLine="0"/>
              <w:jc w:val="both"/>
              <w:rPr>
                <w:rFonts w:asciiTheme="majorHAnsi" w:hAnsiTheme="majorHAnsi" w:cstheme="majorHAnsi"/>
                <w:color w:val="000000"/>
                <w:sz w:val="20"/>
                <w:szCs w:val="20"/>
              </w:rPr>
            </w:pPr>
            <w:r>
              <w:rPr>
                <w:rFonts w:asciiTheme="majorHAnsi" w:hAnsiTheme="majorHAnsi" w:cstheme="majorHAnsi"/>
                <w:sz w:val="20"/>
                <w:szCs w:val="20"/>
              </w:rPr>
              <w:t xml:space="preserve">WINNICOTT D.-W. (</w:t>
            </w:r>
            <w:r>
              <w:rPr>
                <w:rFonts w:asciiTheme="majorHAnsi" w:hAnsiTheme="majorHAnsi" w:cstheme="majorHAnsi"/>
                <w:color w:val="000000"/>
                <w:sz w:val="20"/>
                <w:szCs w:val="20"/>
              </w:rPr>
              <w:t xml:space="preserve">1963). « </w:t>
            </w:r>
            <w:r>
              <w:rPr>
                <w:rFonts w:asciiTheme="majorHAnsi" w:hAnsiTheme="majorHAnsi" w:cstheme="majorHAnsi"/>
                <w:iCs/>
                <w:color w:val="000000"/>
                <w:sz w:val="20"/>
                <w:szCs w:val="20"/>
              </w:rPr>
              <w:t xml:space="preserve">Élaboration de la capacité de sollicitude et Valeur de la dépressio</w:t>
            </w:r>
            <w:r>
              <w:rPr>
                <w:rFonts w:asciiTheme="majorHAnsi" w:hAnsiTheme="majorHAnsi" w:cstheme="majorHAnsi"/>
                <w:color w:val="000000"/>
                <w:sz w:val="20"/>
                <w:szCs w:val="20"/>
              </w:rPr>
              <w:t xml:space="preserve">n », in </w:t>
            </w:r>
            <w:r>
              <w:rPr>
                <w:rFonts w:asciiTheme="majorHAnsi" w:hAnsiTheme="majorHAnsi" w:cstheme="majorHAnsi"/>
                <w:i/>
                <w:color w:val="000000"/>
                <w:sz w:val="20"/>
                <w:szCs w:val="20"/>
              </w:rPr>
              <w:t xml:space="preserve">Processus de maturation de l'enfant. Développement affectif et environnement</w:t>
            </w:r>
            <w:r>
              <w:rPr>
                <w:rFonts w:asciiTheme="majorHAnsi" w:hAnsiTheme="majorHAnsi" w:cstheme="majorHAnsi"/>
                <w:color w:val="000000"/>
                <w:sz w:val="20"/>
                <w:szCs w:val="20"/>
              </w:rPr>
              <w:t xml:space="preserve">, Paris, Payot, 1970.</w:t>
            </w:r>
            <w:r>
              <w:rPr>
                <w:rFonts w:asciiTheme="majorHAnsi" w:hAnsiTheme="majorHAnsi" w:cstheme="majorHAnsi"/>
                <w:color w:val="000000"/>
                <w:sz w:val="20"/>
                <w:szCs w:val="20"/>
              </w:rPr>
            </w:r>
            <w:r>
              <w:rPr>
                <w:rFonts w:asciiTheme="majorHAnsi" w:hAnsiTheme="majorHAnsi" w:cstheme="majorHAnsi"/>
                <w:color w:val="000000"/>
                <w:sz w:val="20"/>
                <w:szCs w:val="20"/>
              </w:rPr>
            </w:r>
          </w:p>
        </w:tc>
      </w:tr>
      <w:tr>
        <w:trPr/>
        <w:tc>
          <w:tcPr>
            <w:shd w:val="clear" w:color="auto" w:fill="d9d9d9" w:themeFill="background1" w:themeFillShade="D9"/>
            <w:tcBorders>
              <w:left w:val="single" w:color="000000" w:sz="4" w:space="0"/>
              <w:bottom w:val="single" w:color="000000" w:sz="4" w:space="0"/>
            </w:tcBorders>
            <w:tcW w:w="3402" w:type="dxa"/>
          </w:tcPr>
          <w:p w14:paraId="1204188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d9d9d9" w:themeFill="background1" w:themeFillShade="D9"/>
            <w:tcBorders>
              <w:left w:val="single" w:color="000000" w:sz="4" w:space="0"/>
              <w:bottom w:val="single" w:color="000000" w:sz="4" w:space="0"/>
              <w:right w:val="single" w:color="000000" w:sz="4" w:space="0"/>
            </w:tcBorders>
            <w:tcW w:w="6236" w:type="dxa"/>
          </w:tcPr>
          <w:p w14:paraId="422DD5F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1F3511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obligatoire</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E7AB4B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Les concepts freudiens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CB724C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recommandé</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90A75A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Les cas cliniques princeps chez S. Freud, M. Klein, D.-W. Winnicott, et F. Dolto…</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5183A1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2"/>
                <w:szCs w:val="20"/>
              </w:rPr>
            </w:pP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D7A8C9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12"/>
                <w:szCs w:val="20"/>
              </w:rPr>
            </w:pP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r>
              <w:rPr>
                <w:rFonts w:eastAsia="Liberation Sans" w:asciiTheme="majorHAnsi" w:hAnsiTheme="majorHAnsi" w:cstheme="majorHAnsi"/>
                <w:b/>
                <w:color w:val="000000" w:themeColor="text1"/>
                <w:sz w:val="12"/>
                <w:szCs w:val="20"/>
              </w:rPr>
            </w:r>
          </w:p>
        </w:tc>
      </w:tr>
      <w:tr>
        <w:trPr/>
        <w:tc>
          <w:tcPr>
            <w:shd w:val="clear" w:color="auto" w:fill="auto"/>
            <w:tcBorders>
              <w:left w:val="single" w:color="000000" w:sz="4" w:space="0"/>
              <w:bottom w:val="single" w:color="000000" w:sz="4" w:space="0"/>
            </w:tcBorders>
            <w:tcW w:w="3402" w:type="dxa"/>
          </w:tcPr>
          <w:p w14:paraId="1415DAD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579950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t xml:space="preserve">Contrôle terminal : Dissertation de deux heures supposant l’assimilation du contenu des </w:t>
            </w:r>
            <w:r>
              <w:rPr>
                <w:rFonts w:eastAsia="Liberation Sans" w:asciiTheme="majorHAnsi" w:hAnsiTheme="majorHAnsi" w:cstheme="majorHAnsi"/>
                <w:i/>
                <w:color w:val="000000" w:themeColor="text1"/>
                <w:sz w:val="20"/>
                <w:szCs w:val="20"/>
              </w:rPr>
              <w:t xml:space="preserve">CMs</w:t>
            </w:r>
            <w:r>
              <w:rPr>
                <w:rFonts w:eastAsia="Liberation Sans" w:asciiTheme="majorHAnsi" w:hAnsiTheme="majorHAnsi" w:cstheme="majorHAnsi"/>
                <w:i/>
                <w:color w:val="000000" w:themeColor="text1"/>
                <w:sz w:val="20"/>
                <w:szCs w:val="20"/>
              </w:rPr>
              <w:t xml:space="preserve"> et des </w:t>
            </w:r>
            <w:r>
              <w:rPr>
                <w:rFonts w:eastAsia="Liberation Sans" w:asciiTheme="majorHAnsi" w:hAnsiTheme="majorHAnsi" w:cstheme="majorHAnsi"/>
                <w:i/>
                <w:color w:val="000000" w:themeColor="text1"/>
                <w:sz w:val="20"/>
                <w:szCs w:val="20"/>
              </w:rPr>
              <w:t xml:space="preserve">TDs</w:t>
            </w:r>
            <w:r>
              <w:rPr>
                <w:rFonts w:eastAsia="Liberation Sans" w:asciiTheme="majorHAnsi" w:hAnsiTheme="majorHAnsi" w:cstheme="majorHAnsi"/>
                <w:i/>
                <w:color w:val="000000" w:themeColor="text1"/>
                <w:sz w:val="20"/>
                <w:szCs w:val="20"/>
              </w:rPr>
              <w:t xml:space="preserve">. </w:t>
            </w:r>
            <w:bookmarkEnd w:id="1"/>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r>
    </w:tbl>
    <w:p w14:paraId="05B8AEB3" w14:textId="1912AF05">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7CD109CF" w14:textId="7A7256D6">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0F7A4DB3" w14:textId="62038C8A">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D337308" w14:textId="79D0DF22">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D0D0466" w14:textId="576EB05E">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C70F4E4" w14:textId="246FBA81">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D529B03" w14:textId="1511AC1E">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204AF46" w14:textId="68C4E8FE">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52B4CEF" w14:textId="493365E8">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3D96380" w14:textId="55CB06C2">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8CF1179" w14:textId="6ADE365B">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9D8345F" w14:textId="265E0F55">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017EFC29" w14:textId="7F9C60EC">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D3F2823" w14:textId="6AF38308">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AF6AC37" w14:textId="04397973">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BF4DE7C" w14:textId="6C080D3E">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0BF0E755" w14:textId="33E75942">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D58075A" w14:textId="451EE162">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CB956B3" w14:textId="7D3FF2A8">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94D0AE0" w14:textId="3BA6DFF5">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0BEA96C5" w14:textId="41A6B219">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30B3B34" w14:textId="50EB16BA">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5D3B96E" w14:textId="067DA554">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D3C3E5E" w14:textId="2B314E21">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D8F0163" w14:textId="1234EBB0">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34285AC" w14:textId="7A0EDCF1">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73EF201" w14:textId="34D6CBEF">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F5A52D0" w14:textId="3727B7E0">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09C5DCB4" w14:textId="06B08E15">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E4760F2" w14:textId="535EE8EC">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80E5E95" w14:textId="7A4F455B">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E249BFC" w14:textId="6D80E9FC">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tbl>
      <w:tblPr>
        <w:tblStyle w:val="1168"/>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1850343C"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7F0B1E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4A3A711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3F10836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HPS6U38</w:t>
            </w:r>
            <w:r>
              <w:rPr>
                <w:rFonts w:eastAsia="Liberation Sans" w:asciiTheme="majorHAnsi" w:hAnsiTheme="majorHAnsi" w:cstheme="majorHAnsi"/>
                <w:b/>
                <w:color w:val="000000" w:themeColor="text1"/>
                <w:sz w:val="20"/>
                <w:szCs w:val="20"/>
                <w:highlight w:val="yellow"/>
              </w:rPr>
            </w:r>
            <w:r>
              <w:rPr>
                <w:rFonts w:eastAsia="Liberation Sans" w:asciiTheme="majorHAnsi" w:hAnsiTheme="majorHAnsi" w:cstheme="majorHAnsi"/>
                <w:b/>
                <w:color w:val="000000" w:themeColor="text1"/>
                <w:sz w:val="20"/>
                <w:szCs w:val="20"/>
                <w:highlight w:val="yellow"/>
              </w:rPr>
            </w:r>
          </w:p>
        </w:tc>
      </w:tr>
      <w:tr>
        <w:trPr/>
        <w:tc>
          <w:tcPr>
            <w:shd w:val="clear" w:color="auto" w:fill="auto"/>
            <w:tcBorders>
              <w:left w:val="single" w:color="000000" w:sz="4" w:space="0"/>
              <w:bottom w:val="single" w:color="000000" w:sz="4" w:space="0"/>
            </w:tcBorders>
            <w:tcW w:w="3402" w:type="dxa"/>
          </w:tcPr>
          <w:p w14:paraId="38E1651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9EF371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Développement/Différentielle A</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74409C3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DB5E57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Trajectoires de développement ; interactions sociales ; cognition numérique ; différences. Individuelles ; émotion ; motivation</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84B0FB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2A7A9B2" w14:textId="77777777">
            <w:pPr>
              <w:pBdr/>
              <w:spacing/>
              <w:ind w:firstLine="0"/>
              <w:jc w:val="both"/>
              <w:rPr>
                <w:rFonts w:asciiTheme="majorHAnsi" w:hAnsiTheme="majorHAnsi" w:cstheme="majorHAnsi"/>
                <w:color w:val="000000" w:themeColor="text1"/>
                <w:sz w:val="20"/>
                <w:szCs w:val="20"/>
              </w:rPr>
            </w:pPr>
            <w:r>
              <w:rPr>
                <w:color w:val="000000" w:themeColor="text1"/>
                <w:sz w:val="20"/>
                <w:szCs w:val="20"/>
              </w:rPr>
              <w:t xml:space="preserve">L'Unité d'Enseignement est organisée en trois volets. Une première partie aborde la façon dont les </w:t>
            </w:r>
            <w:r>
              <w:rPr>
                <w:i/>
                <w:iCs/>
                <w:color w:val="000000" w:themeColor="text1"/>
                <w:sz w:val="20"/>
                <w:szCs w:val="20"/>
              </w:rPr>
              <w:t xml:space="preserve">interactions sociales</w:t>
            </w:r>
            <w:r>
              <w:rPr>
                <w:color w:val="000000" w:themeColor="text1"/>
                <w:sz w:val="20"/>
                <w:szCs w:val="20"/>
              </w:rPr>
              <w:t xml:space="preserve"> contribuent à alimenter et à orienter les </w:t>
            </w:r>
            <w:r>
              <w:rPr>
                <w:i/>
                <w:iCs/>
                <w:color w:val="000000" w:themeColor="text1"/>
                <w:sz w:val="20"/>
                <w:szCs w:val="20"/>
              </w:rPr>
              <w:t xml:space="preserve">trajectoires de développement individuelles</w:t>
            </w:r>
            <w:r>
              <w:rPr>
                <w:color w:val="000000" w:themeColor="text1"/>
                <w:sz w:val="20"/>
                <w:szCs w:val="20"/>
              </w:rPr>
              <w:t xml:space="preserve">. Cette question est abordée à la lumière de la théorie de l'attachement et du mouvement socio-constructiviste. Une seconde partie aborde les recherches contemporaines sur le développement cognitif avec un accent particulier sur le développement de la </w:t>
            </w:r>
            <w:r>
              <w:rPr>
                <w:i/>
                <w:iCs/>
                <w:color w:val="000000" w:themeColor="text1"/>
                <w:sz w:val="20"/>
                <w:szCs w:val="20"/>
              </w:rPr>
              <w:t xml:space="preserve">cognition numérique</w:t>
            </w:r>
            <w:r>
              <w:rPr>
                <w:color w:val="000000" w:themeColor="text1"/>
                <w:sz w:val="20"/>
                <w:szCs w:val="20"/>
              </w:rPr>
              <w:t xml:space="preserve">.</w:t>
            </w:r>
            <w:r>
              <w:rPr>
                <w:rFonts w:ascii="Avenir Next Medium" w:hAnsi="Avenir Next Medium"/>
                <w:sz w:val="20"/>
                <w:szCs w:val="20"/>
              </w:rPr>
              <w:t xml:space="preserve"> </w:t>
            </w:r>
            <w:r>
              <w:rPr>
                <w:color w:val="000000" w:themeColor="text1"/>
                <w:sz w:val="20"/>
                <w:szCs w:val="20"/>
              </w:rPr>
              <w:t xml:space="preserve">Une troisième partie aborde les </w:t>
            </w:r>
            <w:r>
              <w:rPr>
                <w:i/>
                <w:iCs/>
                <w:color w:val="000000" w:themeColor="text1"/>
                <w:sz w:val="20"/>
                <w:szCs w:val="20"/>
              </w:rPr>
              <w:t xml:space="preserve">différences individuelles</w:t>
            </w:r>
            <w:r>
              <w:rPr>
                <w:color w:val="000000" w:themeColor="text1"/>
                <w:sz w:val="20"/>
                <w:szCs w:val="20"/>
              </w:rPr>
              <w:t xml:space="preserve"> dans le domaine des </w:t>
            </w:r>
            <w:r>
              <w:rPr>
                <w:i/>
                <w:iCs/>
                <w:color w:val="000000" w:themeColor="text1"/>
                <w:sz w:val="20"/>
                <w:szCs w:val="20"/>
              </w:rPr>
              <w:t xml:space="preserve">émotions</w:t>
            </w:r>
            <w:r>
              <w:rPr>
                <w:color w:val="000000" w:themeColor="text1"/>
                <w:sz w:val="20"/>
                <w:szCs w:val="20"/>
              </w:rPr>
              <w:t xml:space="preserve"> et de la </w:t>
            </w:r>
            <w:r>
              <w:rPr>
                <w:i/>
                <w:iCs/>
                <w:color w:val="000000" w:themeColor="text1"/>
                <w:sz w:val="20"/>
                <w:szCs w:val="20"/>
              </w:rPr>
              <w:t xml:space="preserve">motivation</w:t>
            </w:r>
            <w:r>
              <w:rPr>
                <w:color w:val="000000" w:themeColor="text1"/>
                <w:sz w:val="20"/>
                <w:szCs w:val="20"/>
              </w:rPr>
              <w:t xml:space="preserve">. Dans chacune des trois parties, une réflexion est initiée sur les implications de ces connaissances - issues de la recherche - pour les pratiques professionnelles des psychologues dans une perspective développementale et différentielle. </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21A898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F1A0BA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6 ECTS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9712638"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4D3DF1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DCCCE9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51E9674" w14:textId="77777777">
            <w:pPr>
              <w:pBdr/>
              <w:tabs>
                <w:tab w:val="left" w:leader="none" w:pos="4536"/>
              </w:tabs>
              <w:spacing/>
              <w:ind w:firstLine="0"/>
              <w:rPr>
                <w:rFonts w:asciiTheme="majorHAnsi" w:hAnsiTheme="majorHAnsi" w:cstheme="majorHAnsi"/>
                <w:color w:val="000000" w:themeColor="text1"/>
                <w:sz w:val="20"/>
                <w:szCs w:val="20"/>
              </w:rPr>
            </w:pPr>
            <w:r>
              <w:rPr>
                <w:color w:val="000000" w:themeColor="text1"/>
              </w:rPr>
              <w:t xml:space="preserve">Connaissances disciplinaires spécialisées dans le champ de la psychologie développementale et différentielle</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5166AD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80D8BD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490B3B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E4A596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Patrick Perret &amp; Jean-Baptiste </w:t>
            </w:r>
            <w:r>
              <w:rPr>
                <w:rFonts w:eastAsia="Liberation Sans" w:asciiTheme="majorHAnsi" w:hAnsiTheme="majorHAnsi" w:cstheme="majorHAnsi"/>
                <w:color w:val="000000" w:themeColor="text1"/>
                <w:sz w:val="20"/>
                <w:szCs w:val="20"/>
              </w:rPr>
              <w:t xml:space="preserve">Pavani</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FEB6A2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5540A3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 Fort ; H. Gros ; JB. </w:t>
            </w:r>
            <w:r>
              <w:rPr>
                <w:rFonts w:eastAsia="Liberation Sans" w:asciiTheme="majorHAnsi" w:hAnsiTheme="majorHAnsi" w:cstheme="majorHAnsi"/>
                <w:color w:val="000000" w:themeColor="text1"/>
                <w:sz w:val="20"/>
                <w:szCs w:val="20"/>
              </w:rPr>
              <w:t xml:space="preserve">Pavani</w:t>
            </w:r>
            <w:r>
              <w:rPr>
                <w:rFonts w:eastAsia="Liberation Sans" w:asciiTheme="majorHAnsi" w:hAnsiTheme="majorHAnsi" w:cstheme="majorHAnsi"/>
                <w:color w:val="000000" w:themeColor="text1"/>
                <w:sz w:val="20"/>
                <w:szCs w:val="20"/>
              </w:rPr>
              <w:t xml:space="preserve"> ; P. Perret ; C. Tardif</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95A0D7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w:t>
            </w:r>
            <w:r>
              <w:rPr>
                <w:rFonts w:eastAsia="Times New Roman"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t xml:space="preserve">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EC2FE8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EFD7CC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DA9BA0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Cours magistraux, travaux dirigés, lectures recommandées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6957F53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E67BE2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1D2F88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595171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Français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6AB462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3AE810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Psychologie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CCA6C7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Volume horaire global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CAF9D5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48h CM / 12h TD</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5B9372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p w14:paraId="3D84D47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BD7AD27" w14:textId="77777777">
            <w:pPr>
              <w:pBdr/>
              <w:spacing/>
              <w:ind w:firstLine="0"/>
              <w:jc w:val="both"/>
              <w:rPr>
                <w:color w:val="000000" w:themeColor="text1"/>
                <w:sz w:val="20"/>
                <w:szCs w:val="20"/>
              </w:rPr>
            </w:pPr>
            <w:r>
              <w:rPr>
                <w:color w:val="000000" w:themeColor="text1"/>
              </w:rPr>
              <w:t xml:space="preserve"> </w:t>
            </w:r>
            <w:r>
              <w:rPr>
                <w:color w:val="000000" w:themeColor="text1"/>
                <w:sz w:val="20"/>
                <w:szCs w:val="20"/>
              </w:rPr>
              <w:t xml:space="preserve">Guedeney</w:t>
            </w:r>
            <w:r>
              <w:rPr>
                <w:color w:val="000000" w:themeColor="text1"/>
                <w:sz w:val="20"/>
                <w:szCs w:val="20"/>
              </w:rPr>
              <w:t xml:space="preserve">, N. &amp; </w:t>
            </w:r>
            <w:r>
              <w:rPr>
                <w:color w:val="000000" w:themeColor="text1"/>
                <w:sz w:val="20"/>
                <w:szCs w:val="20"/>
              </w:rPr>
              <w:t xml:space="preserve">Guedeney</w:t>
            </w:r>
            <w:r>
              <w:rPr>
                <w:color w:val="000000" w:themeColor="text1"/>
                <w:sz w:val="20"/>
                <w:szCs w:val="20"/>
              </w:rPr>
              <w:t xml:space="preserve">, A. (2016). </w:t>
            </w:r>
            <w:r>
              <w:rPr>
                <w:i/>
                <w:iCs/>
                <w:color w:val="000000" w:themeColor="text1"/>
                <w:sz w:val="20"/>
                <w:szCs w:val="20"/>
              </w:rPr>
              <w:t xml:space="preserve">L'attachement : approche théorique</w:t>
            </w:r>
            <w:r>
              <w:rPr>
                <w:color w:val="000000" w:themeColor="text1"/>
                <w:sz w:val="20"/>
                <w:szCs w:val="20"/>
              </w:rPr>
              <w:t xml:space="preserve">. Masson.</w:t>
            </w:r>
            <w:r>
              <w:rPr>
                <w:color w:val="000000" w:themeColor="text1"/>
                <w:sz w:val="20"/>
                <w:szCs w:val="20"/>
              </w:rPr>
            </w:r>
            <w:r>
              <w:rPr>
                <w:color w:val="000000" w:themeColor="text1"/>
                <w:sz w:val="20"/>
                <w:szCs w:val="20"/>
              </w:rPr>
            </w:r>
          </w:p>
          <w:p w14:paraId="0C1A756E" w14:textId="77777777">
            <w:pPr>
              <w:pBdr/>
              <w:spacing/>
              <w:ind w:firstLine="0"/>
              <w:jc w:val="both"/>
              <w:rPr>
                <w:color w:val="000000" w:themeColor="text1"/>
                <w:sz w:val="20"/>
                <w:szCs w:val="20"/>
              </w:rPr>
            </w:pPr>
            <w:r>
              <w:rPr>
                <w:color w:val="000000" w:themeColor="text1"/>
                <w:sz w:val="20"/>
                <w:szCs w:val="20"/>
              </w:rPr>
              <w:t xml:space="preserve">Thomme</w:t>
            </w:r>
            <w:r>
              <w:rPr>
                <w:color w:val="000000" w:themeColor="text1"/>
                <w:sz w:val="20"/>
                <w:szCs w:val="20"/>
              </w:rPr>
              <w:t xml:space="preserve">, E. (2010). </w:t>
            </w:r>
            <w:r>
              <w:rPr>
                <w:i/>
                <w:iCs/>
                <w:color w:val="000000" w:themeColor="text1"/>
                <w:sz w:val="20"/>
                <w:szCs w:val="20"/>
              </w:rPr>
              <w:t xml:space="preserve">Les émotions chez l'enfant : le développement typique et atypique</w:t>
            </w:r>
            <w:r>
              <w:rPr>
                <w:color w:val="000000" w:themeColor="text1"/>
                <w:sz w:val="20"/>
                <w:szCs w:val="20"/>
              </w:rPr>
              <w:t xml:space="preserve">. Belin</w:t>
            </w:r>
            <w:r>
              <w:rPr>
                <w:color w:val="000000" w:themeColor="text1"/>
                <w:sz w:val="20"/>
                <w:szCs w:val="20"/>
              </w:rPr>
            </w:r>
            <w:r>
              <w:rPr>
                <w:color w:val="000000" w:themeColor="text1"/>
                <w:sz w:val="20"/>
                <w:szCs w:val="20"/>
              </w:rPr>
            </w:r>
          </w:p>
          <w:p w14:paraId="6E17C2A4" w14:textId="77777777">
            <w:pPr>
              <w:pBdr/>
              <w:spacing/>
              <w:ind w:firstLine="0"/>
              <w:jc w:val="both"/>
              <w:rPr>
                <w:color w:val="000000" w:themeColor="text1"/>
                <w:sz w:val="20"/>
                <w:szCs w:val="20"/>
              </w:rPr>
            </w:pPr>
            <w:r>
              <w:rPr>
                <w:color w:val="000000" w:themeColor="text1"/>
                <w:sz w:val="20"/>
                <w:szCs w:val="20"/>
              </w:rPr>
              <w:t xml:space="preserve">Blaye, A. &amp; Lemaire, P. (2007). </w:t>
            </w:r>
            <w:r>
              <w:rPr>
                <w:i/>
                <w:iCs/>
                <w:color w:val="000000" w:themeColor="text1"/>
                <w:sz w:val="20"/>
                <w:szCs w:val="20"/>
              </w:rPr>
              <w:t xml:space="preserve">Psychologie du développement cognitif de l'enfant</w:t>
            </w:r>
            <w:r>
              <w:rPr>
                <w:color w:val="000000" w:themeColor="text1"/>
                <w:sz w:val="20"/>
                <w:szCs w:val="20"/>
              </w:rPr>
              <w:t xml:space="preserve">. De Boeck</w:t>
            </w:r>
            <w:r>
              <w:rPr>
                <w:color w:val="000000" w:themeColor="text1"/>
                <w:sz w:val="20"/>
                <w:szCs w:val="20"/>
              </w:rPr>
            </w:r>
            <w:r>
              <w:rPr>
                <w:color w:val="000000" w:themeColor="text1"/>
                <w:sz w:val="20"/>
                <w:szCs w:val="20"/>
              </w:rPr>
            </w:r>
          </w:p>
          <w:p w14:paraId="20930AEF" w14:textId="77777777">
            <w:pPr>
              <w:pBdr/>
              <w:spacing/>
              <w:ind w:firstLine="0"/>
              <w:jc w:val="both"/>
              <w:rPr>
                <w:color w:val="000000" w:themeColor="text1"/>
                <w:sz w:val="20"/>
                <w:szCs w:val="20"/>
              </w:rPr>
            </w:pPr>
            <w:r>
              <w:rPr>
                <w:color w:val="000000" w:themeColor="text1"/>
                <w:sz w:val="20"/>
                <w:szCs w:val="20"/>
              </w:rPr>
              <w:t xml:space="preserve">Pavani</w:t>
            </w:r>
            <w:r>
              <w:rPr>
                <w:color w:val="000000" w:themeColor="text1"/>
                <w:sz w:val="20"/>
                <w:szCs w:val="20"/>
              </w:rPr>
              <w:t xml:space="preserve">, J.-B., &amp; Guiller, T. (2024). </w:t>
            </w:r>
            <w:r>
              <w:rPr>
                <w:i/>
                <w:iCs/>
                <w:color w:val="000000" w:themeColor="text1"/>
                <w:sz w:val="20"/>
                <w:szCs w:val="20"/>
              </w:rPr>
              <w:t xml:space="preserve">La régulation émotionnelle</w:t>
            </w:r>
            <w:r>
              <w:rPr>
                <w:color w:val="000000" w:themeColor="text1"/>
                <w:sz w:val="20"/>
                <w:szCs w:val="20"/>
              </w:rPr>
              <w:t xml:space="preserve">. In </w:t>
            </w:r>
            <w:r>
              <w:rPr>
                <w:color w:val="000000" w:themeColor="text1"/>
                <w:sz w:val="20"/>
                <w:szCs w:val="20"/>
              </w:rPr>
              <w:t xml:space="preserve">Press</w:t>
            </w:r>
            <w:r>
              <w:rPr>
                <w:color w:val="000000" w:themeColor="text1"/>
                <w:sz w:val="20"/>
                <w:szCs w:val="20"/>
              </w:rPr>
              <w:t xml:space="preserve">.</w:t>
            </w:r>
            <w:r>
              <w:rPr>
                <w:color w:val="000000" w:themeColor="text1"/>
                <w:sz w:val="20"/>
                <w:szCs w:val="20"/>
              </w:rPr>
            </w:r>
            <w:r>
              <w:rPr>
                <w:color w:val="000000" w:themeColor="text1"/>
                <w:sz w:val="20"/>
                <w:szCs w:val="20"/>
              </w:rPr>
            </w:r>
          </w:p>
          <w:p w14:paraId="44174851" w14:textId="77777777">
            <w:pPr>
              <w:pBdr/>
              <w:spacing/>
              <w:ind w:firstLine="0"/>
              <w:jc w:val="both"/>
              <w:rPr>
                <w:color w:val="000000" w:themeColor="text1"/>
              </w:rPr>
            </w:pPr>
            <w:r>
              <w:rPr>
                <w:color w:val="000000" w:themeColor="text1"/>
                <w:sz w:val="20"/>
                <w:szCs w:val="20"/>
              </w:rPr>
              <w:t xml:space="preserve">Bandura, A. (2007). </w:t>
            </w:r>
            <w:r>
              <w:rPr>
                <w:i/>
                <w:iCs/>
                <w:color w:val="000000" w:themeColor="text1"/>
                <w:sz w:val="20"/>
                <w:szCs w:val="20"/>
              </w:rPr>
              <w:t xml:space="preserve">Auto-</w:t>
            </w:r>
            <w:r>
              <w:rPr>
                <w:i/>
                <w:iCs/>
                <w:color w:val="000000" w:themeColor="text1"/>
                <w:sz w:val="20"/>
                <w:szCs w:val="20"/>
              </w:rPr>
              <w:t xml:space="preserve">efficacité:</w:t>
            </w:r>
            <w:r>
              <w:rPr>
                <w:i/>
                <w:iCs/>
                <w:color w:val="000000" w:themeColor="text1"/>
                <w:sz w:val="20"/>
                <w:szCs w:val="20"/>
              </w:rPr>
              <w:t xml:space="preserve"> le sentiment d'efficacité personnelle</w:t>
            </w:r>
            <w:r>
              <w:rPr>
                <w:color w:val="000000" w:themeColor="text1"/>
                <w:sz w:val="20"/>
                <w:szCs w:val="20"/>
              </w:rPr>
              <w:t xml:space="preserve">. De </w:t>
            </w:r>
            <w:r>
              <w:rPr>
                <w:color w:val="000000" w:themeColor="text1"/>
                <w:sz w:val="20"/>
                <w:szCs w:val="20"/>
              </w:rPr>
              <w:t xml:space="preserve">boeck</w:t>
            </w:r>
            <w:r>
              <w:rPr>
                <w:color w:val="000000" w:themeColor="text1"/>
                <w:sz w:val="20"/>
                <w:szCs w:val="20"/>
              </w:rPr>
              <w:t xml:space="preserve">.</w:t>
            </w:r>
            <w:r>
              <w:rPr>
                <w:color w:val="000000" w:themeColor="text1"/>
              </w:rPr>
            </w:r>
            <w:r>
              <w:rPr>
                <w:color w:val="000000" w:themeColor="text1"/>
              </w:rPr>
            </w:r>
          </w:p>
        </w:tc>
      </w:tr>
      <w:tr>
        <w:trPr/>
        <w:tc>
          <w:tcPr>
            <w:shd w:val="clear" w:color="auto" w:fill="d9d9d9" w:themeFill="background1" w:themeFillShade="D9"/>
            <w:tcBorders>
              <w:left w:val="single" w:color="000000" w:sz="4" w:space="0"/>
              <w:bottom w:val="single" w:color="000000" w:sz="4" w:space="0"/>
            </w:tcBorders>
            <w:tcW w:w="3402" w:type="dxa"/>
          </w:tcPr>
          <w:p w14:paraId="089B42B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d9d9d9" w:themeFill="background1" w:themeFillShade="D9"/>
            <w:tcBorders>
              <w:left w:val="single" w:color="000000" w:sz="4" w:space="0"/>
              <w:bottom w:val="single" w:color="000000" w:sz="4" w:space="0"/>
              <w:right w:val="single" w:color="000000" w:sz="4" w:space="0"/>
            </w:tcBorders>
            <w:tcW w:w="6236" w:type="dxa"/>
          </w:tcPr>
          <w:p w14:paraId="475A5F2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19B9DD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obligatoire</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A021BE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16F5B1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recommandé</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805601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CBFF98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BD43C1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19D4ED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AE54A8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t xml:space="preserve">Contrôle terminal</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r>
    </w:tbl>
    <w:p w14:paraId="059D67C7" w14:textId="02A30142">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273EAC9" w14:textId="7403087F">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369DB0F" w14:textId="7C3DD188">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A9C4EE8" w14:textId="098C07E8">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C17F8CA" w14:textId="1EB04F5A">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CE0EDBC" w14:textId="0C0D2E6D">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70BAB914" w14:textId="465B17EC">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FB182B1" w14:textId="47EF7E7E">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9D47879" w14:textId="771E857B">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8F3C37B" w14:textId="6A9F3300">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787487B9" w14:textId="2987C6A9">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8DCFE03" w14:textId="310990E8">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708E9A0" w14:textId="0BF774B2">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F4494C6" w14:textId="750C4E09">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741AB4DD" w14:textId="3F997D65">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7E6C4FF3" w14:textId="1C440954">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79268C4A" w14:textId="56E0FC9A">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0477465" w14:textId="2048EF01">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905C890" w14:textId="5DEC15ED">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512083A" w14:textId="5FD27ED2">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95831C1" w14:textId="37798F6E">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D805264" w14:textId="4EE5A197">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A7500D6" w14:textId="55ADE98F">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0BE5E84C" w14:textId="0E0D5AD1">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161C809" w14:textId="0F43DF62">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9DD6B79" w14:textId="7E70D59F">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9C03EB4" w14:textId="6F3268AA">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7BE62376" w14:textId="46EB60AD">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EE89B99" w14:textId="4CA612C0">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A2A253F" w14:textId="5DE39F07">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0058B1C7" w14:textId="65A8D7C9">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96B3894" w14:textId="41663F9C">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0AA32635" w14:textId="2FFD6D43">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8556B0C" w14:textId="6FF87EAD">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B20B274" w14:textId="206ACC82">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C344BD4" w14:textId="3D4DCB20">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C764C8F" w14:textId="11640429">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5005643" w14:textId="38FA191D">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DA24007" w14:textId="047F4C3A">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29BEDF7" w14:textId="5304EC9A">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7EF5C1E8" w14:textId="351CEC0D">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198717C" w14:textId="404675D1">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A22AF9C" w14:textId="4FB7E7F6">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D4A9E9C" w14:textId="12B3A323">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0862EBD" w14:textId="06BBC4E8">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C7DAD41" w14:textId="2C6C8090">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98CE828" w14:textId="0DB32A30">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D663D3E" w14:textId="77777777">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840E31C" w14:textId="0C5555C2">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3E5DC19" w14:textId="4439836C">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tbl>
      <w:tblPr>
        <w:tblStyle w:val="1167"/>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78E6BD8D" w14:textId="57A8E11F">
            <w:pPr>
              <w:pBdr/>
              <w:spacing/>
              <w:ind w:firstLine="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702CD0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62712F5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2B33229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highlight w:val="yellow"/>
                <w:vertAlign w:val="subscript"/>
              </w:rPr>
            </w:pPr>
            <w:r>
              <w:rPr>
                <w:rFonts w:eastAsia="Liberation Sans" w:asciiTheme="majorHAnsi" w:hAnsiTheme="majorHAnsi" w:cstheme="majorHAnsi"/>
                <w:b/>
                <w:color w:val="000000" w:themeColor="text1"/>
                <w:sz w:val="20"/>
                <w:szCs w:val="20"/>
              </w:rPr>
              <w:t xml:space="preserve">HPS6U39</w:t>
            </w:r>
            <w:r>
              <w:rPr>
                <w:rFonts w:eastAsia="Liberation Sans" w:asciiTheme="majorHAnsi" w:hAnsiTheme="majorHAnsi" w:cstheme="majorHAnsi"/>
                <w:b/>
                <w:color w:val="000000" w:themeColor="text1"/>
                <w:sz w:val="20"/>
                <w:szCs w:val="20"/>
                <w:highlight w:val="yellow"/>
                <w:vertAlign w:val="subscript"/>
              </w:rPr>
            </w:r>
            <w:r>
              <w:rPr>
                <w:rFonts w:eastAsia="Liberation Sans" w:asciiTheme="majorHAnsi" w:hAnsiTheme="majorHAnsi" w:cstheme="majorHAnsi"/>
                <w:b/>
                <w:color w:val="000000" w:themeColor="text1"/>
                <w:sz w:val="20"/>
                <w:szCs w:val="20"/>
                <w:highlight w:val="yellow"/>
                <w:vertAlign w:val="subscript"/>
              </w:rPr>
            </w:r>
          </w:p>
        </w:tc>
      </w:tr>
      <w:tr>
        <w:trPr/>
        <w:tc>
          <w:tcPr>
            <w:shd w:val="clear" w:color="auto" w:fill="auto"/>
            <w:tcBorders>
              <w:left w:val="single" w:color="000000" w:sz="4" w:space="0"/>
              <w:bottom w:val="single" w:color="000000" w:sz="4" w:space="0"/>
            </w:tcBorders>
            <w:tcW w:w="3402" w:type="dxa"/>
          </w:tcPr>
          <w:p w14:paraId="5DEC3C6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AD5281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Cognitive A</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F4FCFB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3E1A42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ascii="Calibri Light" w:hAnsi="Calibri Light" w:eastAsia="Calibri Light" w:cs="Calibri Light"/>
                <w:color w:val="000000"/>
                <w:sz w:val="20"/>
              </w:rPr>
              <w:t xml:space="preserve">Psychologie Cognitive, Ergonomie, Neuropsychologie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79BFCC1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E057CB9" w14:textId="77777777">
            <w:pPr>
              <w:pBdr>
                <w:top w:val="none" w:color="000000" w:sz="4" w:space="0"/>
                <w:left w:val="none" w:color="000000" w:sz="4" w:space="0"/>
                <w:bottom w:val="none" w:color="000000" w:sz="4" w:space="0"/>
                <w:right w:val="none" w:color="000000" w:sz="4" w:space="0"/>
              </w:pBdr>
              <w:spacing/>
              <w:ind w:firstLine="0"/>
              <w:rPr/>
            </w:pPr>
            <w:r>
              <w:rPr>
                <w:rFonts w:ascii="Calibri Light" w:hAnsi="Calibri Light" w:eastAsia="Calibri Light" w:cs="Calibri Light"/>
                <w:color w:val="000000"/>
                <w:sz w:val="20"/>
              </w:rPr>
              <w:t xml:space="preserve">Cette UE permet d’aborder deux grands champs d’application de la psychologie cognitive : la neuropsychologie et l’ergonomie. </w:t>
            </w:r>
            <w:r>
              <w:rPr>
                <w:rFonts w:ascii="Calibri Light" w:hAnsi="Calibri Light" w:eastAsia="Calibri Light" w:cs="Calibri Light"/>
                <w:color w:val="000000"/>
                <w:sz w:val="20"/>
              </w:rPr>
              <w:br/>
              <w:t xml:space="preserve">Le cours débute par une brève introduction des fondements historiques de chacun des champs. Des thématiques centrales et des méthodes relevant de la neuropsychologie et de l’ergonomie seront ensuite présentées.</w:t>
            </w:r>
            <w:r/>
          </w:p>
          <w:p w14:paraId="438EB47A" w14:textId="77777777">
            <w:pPr>
              <w:pBdr>
                <w:top w:val="none" w:color="000000" w:sz="4" w:space="0"/>
                <w:left w:val="none" w:color="000000" w:sz="4" w:space="0"/>
                <w:bottom w:val="none" w:color="000000" w:sz="4" w:space="0"/>
                <w:right w:val="none" w:color="000000" w:sz="4" w:space="0"/>
              </w:pBdr>
              <w:spacing/>
              <w:ind w:firstLine="0"/>
              <w:jc w:val="both"/>
              <w:rPr/>
            </w:pPr>
            <w:r>
              <w:rPr>
                <w:rFonts w:ascii="Calibri Light" w:hAnsi="Calibri Light" w:eastAsia="Calibri Light" w:cs="Calibri Light"/>
                <w:color w:val="000000"/>
                <w:sz w:val="20"/>
              </w:rPr>
              <w:t xml:space="preserve">L’évaluation et la prise en charge clinique en neuropsychologie seront illustrées dans les troubles de la mémoire comme les syndromes amnésiques, et les troubles neurodéveloppementaux comme la dyslexie et les troubles du spectre de l’autisme.</w:t>
            </w:r>
            <w:r/>
          </w:p>
          <w:p w14:paraId="54AE7C0B" w14:textId="77777777">
            <w:pPr>
              <w:pBdr/>
              <w:spacing/>
              <w:ind w:firstLine="0"/>
              <w:rPr>
                <w:rFonts w:asciiTheme="majorHAnsi" w:hAnsiTheme="majorHAnsi" w:cstheme="majorHAnsi"/>
                <w:color w:val="000000" w:themeColor="text1"/>
                <w:sz w:val="20"/>
                <w:szCs w:val="20"/>
              </w:rPr>
            </w:pPr>
            <w:r>
              <w:rPr>
                <w:rFonts w:ascii="Calibri Light" w:hAnsi="Calibri Light" w:eastAsia="Calibri Light" w:cs="Calibri Light"/>
                <w:color w:val="000000"/>
                <w:sz w:val="20"/>
              </w:rPr>
              <w:t xml:space="preserve">Différents courants de la psychologie ergonomique et de l’ergonomie seront présentés et des thématiques d’actualité dans différents domaines seront abordées (communications verbales et non verbales ; interactions et collaboration interhu</w:t>
            </w:r>
            <w:r>
              <w:rPr>
                <w:rFonts w:ascii="Calibri Light" w:hAnsi="Calibri Light" w:eastAsia="Calibri Light" w:cs="Calibri Light"/>
                <w:color w:val="000000"/>
                <w:sz w:val="20"/>
              </w:rPr>
              <w:t xml:space="preserve">maines, humain-système, humain-IA, humain-robot ; démarche ergonomique en conception ; expertise) afin de montrer leurs apports en vue d’une meilleure adaptation de l’environnement sociotechnique aux caractéristiques, capacités et limites de l’être humain.</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A5D50D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8F2970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6 ECTS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5864FC97"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53B1D6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3438D8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1985A84" w14:textId="77777777">
            <w:pPr>
              <w:numPr>
                <w:ilvl w:val="0"/>
                <w:numId w:val="39"/>
              </w:numPr>
              <w:pBdr>
                <w:top w:val="none" w:color="000000" w:sz="4" w:space="0"/>
                <w:left w:val="none" w:color="000000" w:sz="4" w:space="0"/>
                <w:bottom w:val="none" w:color="000000" w:sz="4" w:space="0"/>
                <w:right w:val="none" w:color="000000" w:sz="4" w:space="0"/>
                <w:between w:val="none" w:color="000000" w:sz="4" w:space="0"/>
              </w:pBdr>
              <w:spacing/>
              <w:ind/>
              <w:rPr/>
            </w:pPr>
            <w:r>
              <w:rPr>
                <w:rFonts w:ascii="Calibri Light" w:hAnsi="Calibri Light" w:eastAsia="Calibri Light" w:cs="Calibri Light"/>
                <w:color w:val="000000"/>
                <w:sz w:val="20"/>
              </w:rPr>
              <w:t xml:space="preserve">Connaître les objectifs et les méthodes de la neuropsychologie </w:t>
            </w:r>
            <w:r/>
          </w:p>
          <w:p w14:paraId="0CD54CD4" w14:textId="77777777">
            <w:pPr>
              <w:numPr>
                <w:ilvl w:val="0"/>
                <w:numId w:val="39"/>
              </w:numPr>
              <w:pBdr>
                <w:top w:val="none" w:color="000000" w:sz="4" w:space="0"/>
                <w:left w:val="none" w:color="000000" w:sz="4" w:space="0"/>
                <w:bottom w:val="none" w:color="000000" w:sz="4" w:space="0"/>
                <w:right w:val="none" w:color="000000" w:sz="4" w:space="0"/>
                <w:between w:val="none" w:color="000000" w:sz="4" w:space="0"/>
              </w:pBdr>
              <w:spacing/>
              <w:ind/>
              <w:rPr/>
            </w:pPr>
            <w:r>
              <w:rPr>
                <w:rFonts w:ascii="Calibri Light" w:hAnsi="Calibri Light" w:eastAsia="Calibri Light" w:cs="Calibri Light"/>
                <w:color w:val="000000"/>
                <w:sz w:val="20"/>
              </w:rPr>
              <w:t xml:space="preserve">Connaître les objectifs, les thématiques et les méthodes centrales en psychologie ergonomique et en ergonomie</w:t>
            </w:r>
            <w:r/>
          </w:p>
          <w:p w14:paraId="6DF11071" w14:textId="77777777">
            <w:pPr>
              <w:numPr>
                <w:ilvl w:val="0"/>
                <w:numId w:val="39"/>
              </w:numPr>
              <w:pBdr>
                <w:top w:val="none" w:color="000000" w:sz="4" w:space="0"/>
                <w:left w:val="none" w:color="000000" w:sz="4" w:space="0"/>
                <w:bottom w:val="none" w:color="000000" w:sz="4" w:space="0"/>
                <w:right w:val="none" w:color="000000" w:sz="4" w:space="0"/>
                <w:between w:val="none" w:color="000000" w:sz="4" w:space="0"/>
              </w:pBdr>
              <w:spacing/>
              <w:ind/>
              <w:rPr/>
            </w:pPr>
            <w:r>
              <w:rPr>
                <w:rFonts w:ascii="Calibri Light" w:hAnsi="Calibri Light" w:eastAsia="Calibri Light" w:cs="Calibri Light"/>
                <w:color w:val="000000"/>
                <w:sz w:val="20"/>
              </w:rPr>
              <w:t xml:space="preserve">Savoir élaborer une démarche hypothético-déductive dans le domaine clinique </w:t>
            </w:r>
            <w:r/>
          </w:p>
          <w:p w14:paraId="5410BE6E" w14:textId="77777777">
            <w:pPr>
              <w:numPr>
                <w:ilvl w:val="0"/>
                <w:numId w:val="39"/>
              </w:numPr>
              <w:pBdr>
                <w:top w:val="none" w:color="000000" w:sz="4" w:space="0"/>
                <w:left w:val="none" w:color="000000" w:sz="4" w:space="0"/>
                <w:bottom w:val="none" w:color="000000" w:sz="4" w:space="0"/>
                <w:right w:val="none" w:color="000000" w:sz="4" w:space="0"/>
                <w:between w:val="none" w:color="000000" w:sz="4" w:space="0"/>
              </w:pBdr>
              <w:spacing/>
              <w:ind/>
              <w:rPr/>
            </w:pPr>
            <w:r>
              <w:rPr>
                <w:rFonts w:ascii="Calibri Light" w:hAnsi="Calibri Light" w:eastAsia="Calibri Light" w:cs="Calibri Light"/>
                <w:color w:val="000000"/>
                <w:sz w:val="20"/>
              </w:rPr>
              <w:t xml:space="preserve">Savoir élaborer une démarche d’intervention ergonomique</w:t>
            </w:r>
            <w:r/>
          </w:p>
          <w:p w14:paraId="216653B6" w14:textId="77777777">
            <w:pPr>
              <w:numPr>
                <w:ilvl w:val="0"/>
                <w:numId w:val="39"/>
              </w:numPr>
              <w:pBdr>
                <w:top w:val="none" w:color="000000" w:sz="4" w:space="0"/>
                <w:left w:val="none" w:color="000000" w:sz="4" w:space="0"/>
                <w:bottom w:val="none" w:color="000000" w:sz="4" w:space="0"/>
                <w:right w:val="none" w:color="000000" w:sz="4" w:space="0"/>
                <w:between w:val="none" w:color="000000" w:sz="4" w:space="0"/>
              </w:pBdr>
              <w:spacing/>
              <w:ind/>
              <w:rPr/>
            </w:pPr>
            <w:r>
              <w:rPr>
                <w:rFonts w:ascii="Calibri Light" w:hAnsi="Calibri Light" w:eastAsia="Calibri Light" w:cs="Calibri Light"/>
                <w:color w:val="000000"/>
                <w:sz w:val="20"/>
              </w:rPr>
              <w:t xml:space="preserve">Savoir utiliser à bon escient les méthodes d’évaluation et de prise en charge clinique</w:t>
            </w:r>
            <w:r/>
          </w:p>
          <w:p w14:paraId="6DA6271C" w14:textId="77777777">
            <w:pPr>
              <w:pStyle w:val="1193"/>
              <w:numPr>
                <w:ilvl w:val="0"/>
                <w:numId w:val="40"/>
              </w:num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ascii="Calibri Light" w:hAnsi="Calibri Light" w:eastAsia="Calibri Light" w:cs="Calibri Light"/>
                <w:color w:val="000000"/>
                <w:sz w:val="20"/>
              </w:rPr>
              <w:t xml:space="preserve">Savoir utiliser à bon escient des méthodes et techniques d’analyse de l’activité et de conception centrée utilisateur.</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56AA58C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01CC01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D74CEC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52DDBE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Nathalie Bonnardel &amp; Marlène Abadie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E845C9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6E0A92F"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Neuropsychologie : Marlène Abadie, Jérémy </w:t>
            </w:r>
            <w:r>
              <w:rPr>
                <w:rFonts w:ascii="Calibri Light" w:hAnsi="Calibri Light" w:eastAsia="Calibri Light" w:cs="Calibri Light"/>
                <w:color w:val="000000"/>
                <w:sz w:val="20"/>
              </w:rPr>
              <w:t xml:space="preserve">Bena</w:t>
            </w:r>
            <w:r>
              <w:rPr>
                <w:rFonts w:ascii="Calibri Light" w:hAnsi="Calibri Light" w:eastAsia="Calibri Light" w:cs="Calibri Light"/>
                <w:color w:val="000000"/>
                <w:sz w:val="20"/>
              </w:rPr>
              <w:t xml:space="preserve"> et Pascale </w:t>
            </w:r>
            <w:r>
              <w:rPr>
                <w:rFonts w:ascii="Calibri Light" w:hAnsi="Calibri Light" w:eastAsia="Calibri Light" w:cs="Calibri Light"/>
                <w:color w:val="000000"/>
                <w:sz w:val="20"/>
              </w:rPr>
              <w:t xml:space="preserve">Colé</w:t>
            </w:r>
            <w:r/>
          </w:p>
          <w:p w14:paraId="73C7168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ascii="Calibri Light" w:hAnsi="Calibri Light" w:eastAsia="Calibri Light" w:cs="Calibri Light"/>
                <w:color w:val="000000"/>
                <w:sz w:val="20"/>
              </w:rPr>
              <w:t xml:space="preserve">Ergonomie : Nathalie Bonnardel, Fabien </w:t>
            </w:r>
            <w:r>
              <w:rPr>
                <w:rFonts w:ascii="Calibri Light" w:hAnsi="Calibri Light" w:eastAsia="Calibri Light" w:cs="Calibri Light"/>
                <w:color w:val="000000"/>
                <w:sz w:val="20"/>
              </w:rPr>
              <w:t xml:space="preserve">Girandola</w:t>
            </w:r>
            <w:r>
              <w:rPr>
                <w:rFonts w:ascii="Calibri Light" w:hAnsi="Calibri Light" w:eastAsia="Calibri Light" w:cs="Calibri Light"/>
                <w:color w:val="000000"/>
                <w:sz w:val="20"/>
              </w:rPr>
              <w:t xml:space="preserve">, Brice </w:t>
            </w:r>
            <w:r>
              <w:rPr>
                <w:rFonts w:ascii="Calibri Light" w:hAnsi="Calibri Light" w:eastAsia="Calibri Light" w:cs="Calibri Light"/>
                <w:color w:val="000000"/>
                <w:sz w:val="20"/>
              </w:rPr>
              <w:t xml:space="preserve">Isableu</w:t>
            </w:r>
            <w:r>
              <w:rPr>
                <w:rFonts w:ascii="Calibri Light" w:hAnsi="Calibri Light" w:eastAsia="Calibri Light" w:cs="Calibri Light"/>
                <w:color w:val="000000"/>
                <w:sz w:val="20"/>
              </w:rPr>
              <w:t xml:space="preserve">, Olivier Lamarche, Joris </w:t>
            </w:r>
            <w:r>
              <w:rPr>
                <w:rFonts w:ascii="Calibri Light" w:hAnsi="Calibri Light" w:eastAsia="Calibri Light" w:cs="Calibri Light"/>
                <w:color w:val="000000"/>
                <w:sz w:val="20"/>
              </w:rPr>
              <w:t xml:space="preserve">Perra</w:t>
            </w:r>
            <w:r>
              <w:rPr>
                <w:rFonts w:ascii="Calibri Light" w:hAnsi="Calibri Light" w:eastAsia="Calibri Light" w:cs="Calibri Light"/>
                <w:color w:val="000000"/>
                <w:sz w:val="20"/>
              </w:rPr>
              <w:t xml:space="preserv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5C5969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82F921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C27F0D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34E762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Français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427E76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9E62D8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Psychologie cognitive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EB778E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FA7237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40h CM / 20h TD</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0A097B3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Note importante : Les </w:t>
            </w:r>
            <w:r>
              <w:rPr>
                <w:rFonts w:eastAsia="Liberation Sans" w:asciiTheme="majorHAnsi" w:hAnsiTheme="majorHAnsi" w:cstheme="majorHAnsi"/>
                <w:color w:val="000000" w:themeColor="text1"/>
                <w:sz w:val="20"/>
                <w:szCs w:val="20"/>
              </w:rPr>
              <w:t xml:space="preserve">CMs</w:t>
            </w:r>
            <w:r>
              <w:rPr>
                <w:rFonts w:eastAsia="Liberation Sans" w:asciiTheme="majorHAnsi" w:hAnsiTheme="majorHAnsi" w:cstheme="majorHAnsi"/>
                <w:color w:val="000000" w:themeColor="text1"/>
                <w:sz w:val="20"/>
                <w:szCs w:val="20"/>
              </w:rPr>
              <w:t xml:space="preserve"> sont les mêmes pour tous les étudiants (et ils donneront lieu à une évaluation dans le cadre d’un QCM).</w:t>
            </w:r>
            <w:r>
              <w:rPr>
                <w:rFonts w:eastAsia="Liberation Sans" w:asciiTheme="majorHAnsi" w:hAnsiTheme="majorHAnsi" w:cstheme="majorHAnsi"/>
                <w:color w:val="000000" w:themeColor="text1"/>
                <w:sz w:val="20"/>
                <w:szCs w:val="20"/>
              </w:rPr>
              <w:br/>
              <w:t xml:space="preserve">Par contre, des groupes de </w:t>
            </w:r>
            <w:r>
              <w:rPr>
                <w:rFonts w:eastAsia="Liberation Sans" w:asciiTheme="majorHAnsi" w:hAnsiTheme="majorHAnsi" w:cstheme="majorHAnsi"/>
                <w:color w:val="000000" w:themeColor="text1"/>
                <w:sz w:val="20"/>
                <w:szCs w:val="20"/>
              </w:rPr>
              <w:t xml:space="preserve">TDs</w:t>
            </w:r>
            <w:r>
              <w:rPr>
                <w:rFonts w:eastAsia="Liberation Sans" w:asciiTheme="majorHAnsi" w:hAnsiTheme="majorHAnsi" w:cstheme="majorHAnsi"/>
                <w:color w:val="000000" w:themeColor="text1"/>
                <w:sz w:val="20"/>
                <w:szCs w:val="20"/>
              </w:rPr>
              <w:t xml:space="preserve"> spécifiques sont à choisir en fonction du </w:t>
            </w:r>
            <w:r>
              <w:rPr>
                <w:rFonts w:eastAsia="Liberation Sans" w:asciiTheme="majorHAnsi" w:hAnsiTheme="majorHAnsi" w:cstheme="majorHAnsi"/>
                <w:color w:val="000000" w:themeColor="text1"/>
                <w:sz w:val="20"/>
                <w:szCs w:val="20"/>
              </w:rPr>
              <w:t xml:space="preserve">champ d’application de la psychologie cognitive, avec certains groupes en neuropsychologie et d’autres groupes en ergonomie.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EA2049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89627F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ascii="Calibri Light" w:hAnsi="Calibri Light" w:eastAsia="Calibri Light" w:cs="Calibri Light"/>
                <w:color w:val="000000"/>
                <w:sz w:val="20"/>
              </w:rPr>
              <w:t xml:space="preserve">Chaque intervenant proposera des chapitres d’ouvrages et articles correspondants au contenu de son cours.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61EC6A9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5C21B6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246F5C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750AE36"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i/>
                <w:color w:val="000000"/>
                <w:sz w:val="20"/>
              </w:rPr>
              <w:t xml:space="preserve">Contrôle terminal</w:t>
            </w:r>
            <w:r/>
          </w:p>
          <w:p w14:paraId="5D382774"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i/>
                <w:color w:val="000000"/>
                <w:sz w:val="20"/>
              </w:rPr>
              <w:t xml:space="preserve">Session 1 : 1 exposé oral (50% note finale) et 1 QCM (50% note finale)</w:t>
            </w:r>
            <w:r/>
          </w:p>
          <w:p w14:paraId="4E4E852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ascii="Calibri Light" w:hAnsi="Calibri Light" w:eastAsia="Calibri Light" w:cs="Calibri Light"/>
                <w:i/>
                <w:color w:val="000000"/>
                <w:sz w:val="20"/>
              </w:rPr>
              <w:t xml:space="preserve">Session 2 : 1 QCM (100% note finale)</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r>
    </w:tbl>
    <w:p w14:paraId="6D73A5FE" w14:textId="2F1AEFCE">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76E859B" w14:textId="0DF8A58D">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6F3BECF" w14:textId="1FEBC199">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26EDF7A" w14:textId="62801D71">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7F654E3" w14:textId="70236453">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8CCB885" w14:textId="00CF7D3E">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3046C78" w14:textId="4BC2133B">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F68A964" w14:textId="1D375984">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F71DDEA" w14:textId="7E5B465A">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0EA6DDB7" w14:textId="32946210">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0182DC94" w14:textId="1454C84D">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394DDBC" w14:textId="510B3745">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6543C94" w14:textId="58A4C824">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49EE6C4" w14:textId="1F07D74E">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0ADB869C" w14:textId="22C7B5C9">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295B2D0" w14:textId="23F9CAC1">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0E404E3" w14:textId="069C49D7">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4C97A9F" w14:textId="30720479">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1226037" w14:textId="3ED1D1AE">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265E6CA" w14:textId="6A53A068">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53DAB7F" w14:textId="49E8E853">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0725930B" w14:textId="4786CD22">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9787DC7" w14:textId="3E7DE866">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7F49783A" w14:textId="40964DD8">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1352C36" w14:textId="4FEDFE2A">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783C7655" w14:textId="42949C5B">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A3F241A" w14:textId="4358D981">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29CFE75" w14:textId="1BDAAB1E">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EE364DB" w14:textId="64A0FFEC">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0F86DCD3" w14:textId="43D24732">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75021A02" w14:textId="6CACBE8D">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A1722EE" w14:textId="24A3DA1B">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CF308E3" w14:textId="52A8C674">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FD22FC0" w14:textId="2D7EA9E6">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F48AB87" w14:textId="51E9451D">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7D0D591A" w14:textId="0420260C">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060478A" w14:textId="68A56746">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C77E915" w14:textId="0F359FC0">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73E496A" w14:textId="4B9337FB">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9D7752B" w14:textId="09B6DC6C">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732E0FE" w14:textId="05EE4E3D">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23C2519" w14:textId="7867E6A0">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5079152" w14:textId="4E5EC0BE">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4151D94" w14:textId="591C8776">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685ABC2" w14:textId="411B0EEA">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91D2CEB" w14:textId="77777777">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B8A6F90" w14:textId="77777777">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tbl>
      <w:tblPr>
        <w:tblStyle w:val="1170"/>
        <w:tblInd w:w="57" w:type="dxa"/>
        <w:tblW w:w="9638" w:type="dxa"/>
        <w:tblBorders/>
        <w:tblLayout w:type="fixed"/>
        <w:tblLook w:val="0000" w:firstRow="0" w:lastRow="0" w:firstColumn="0" w:lastColumn="0" w:noHBand="0" w:noVBand="0"/>
      </w:tblPr>
      <w:tblGrid>
        <w:gridCol w:w="3402"/>
        <w:gridCol w:w="6236"/>
      </w:tblGrid>
      <w:tr>
        <w:trPr>
          <w:trHeight w:val="220"/>
        </w:trPr>
        <w:tc>
          <w:tcPr>
            <w:shd w:val="clear" w:color="auto" w:fill="e6e6e6"/>
            <w:tcBorders>
              <w:top w:val="single" w:color="auto" w:sz="4" w:space="0"/>
              <w:left w:val="single" w:color="000000" w:sz="4" w:space="0"/>
              <w:bottom w:val="single" w:color="000000" w:sz="4" w:space="0"/>
            </w:tcBorders>
            <w:tcW w:w="3402" w:type="dxa"/>
          </w:tcPr>
          <w:p w14:paraId="6DBA21C4"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auto" w:sz="4" w:space="0"/>
              <w:left w:val="single" w:color="000000" w:sz="4" w:space="0"/>
              <w:bottom w:val="single" w:color="000000" w:sz="4" w:space="0"/>
              <w:right w:val="single" w:color="000000" w:sz="4" w:space="0"/>
            </w:tcBorders>
            <w:tcW w:w="6236" w:type="dxa"/>
          </w:tcPr>
          <w:p w14:paraId="18AE5B0F" w14:textId="77777777">
            <w:pPr>
              <w:pBdr>
                <w:top w:val="none" w:color="000000" w:sz="4" w:space="0"/>
                <w:left w:val="none" w:color="000000" w:sz="4" w:space="0"/>
                <w:bottom w:val="none" w:color="000000" w:sz="4" w:space="0"/>
                <w:right w:val="none" w:color="000000" w:sz="4" w:space="0"/>
                <w:between w:val="none" w:color="000000" w:sz="4" w:space="0"/>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299B505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6670FD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HPS6U40</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8C4045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2E74E9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color w:val="000000"/>
                <w:sz w:val="20"/>
              </w:rPr>
              <w:t xml:space="preserve">Sociale A - Psychologie Sociale de la Santé et du Travail</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CA0904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6CC08E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color w:val="000000"/>
                <w:sz w:val="20"/>
              </w:rPr>
              <w:t xml:space="preserve">Psychologie sociale, Psychologie de la santé, Psychologie du travail et des organisations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418CA9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3620A027"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eastAsia="Liberation Sans" w:asciiTheme="majorHAnsi" w:hAnsiTheme="majorHAnsi" w:cstheme="majorHAnsi"/>
                <w:color w:val="000000" w:themeColor="text1"/>
                <w:sz w:val="20"/>
                <w:szCs w:val="20"/>
              </w:rPr>
              <w:t xml:space="preserve">1</w:t>
            </w:r>
            <w:r>
              <w:rPr>
                <w:rFonts w:ascii="Calibri Light" w:hAnsi="Calibri Light" w:eastAsia="Calibri Light" w:cs="Calibri Light"/>
                <w:color w:val="000000"/>
                <w:sz w:val="20"/>
              </w:rPr>
              <w:t xml:space="preserve">/ L</w:t>
            </w:r>
            <w:r>
              <w:rPr>
                <w:color w:val="000000"/>
                <w:sz w:val="20"/>
              </w:rPr>
              <w:t xml:space="preserve">a partie </w:t>
            </w:r>
            <w:r>
              <w:rPr>
                <w:b/>
                <w:color w:val="000000"/>
                <w:sz w:val="20"/>
              </w:rPr>
              <w:t xml:space="preserve">Travail </w:t>
            </w:r>
            <w:r>
              <w:rPr>
                <w:color w:val="000000"/>
                <w:sz w:val="20"/>
              </w:rPr>
              <w:t xml:space="preserve">:</w:t>
            </w:r>
            <w:r>
              <w:rPr>
                <w:rFonts w:ascii="Calibri Light" w:hAnsi="Calibri Light" w:eastAsia="Calibri Light" w:cs="Calibri Light"/>
                <w:color w:val="000000"/>
                <w:sz w:val="20"/>
              </w:rPr>
              <w:t xml:space="preserve"> Il s'agira d'initier les étudiants à la psychologie du travail et des organisations en s'appu</w:t>
            </w:r>
            <w:r>
              <w:rPr>
                <w:rFonts w:ascii="Calibri Light" w:hAnsi="Calibri Light" w:eastAsia="Calibri Light" w:cs="Calibri Light"/>
                <w:color w:val="000000"/>
                <w:sz w:val="20"/>
              </w:rPr>
              <w:t xml:space="preserve">yant sur une présentation de ses principaux domaines, approches et concepts. Au niveau théorique, l'accent sera plus particulièrement mis sur les modèles socio-cognitifs et les approches en termes de satisfaction, de motivation et de conditions de travail.</w:t>
            </w:r>
            <w:r/>
          </w:p>
          <w:p w14:paraId="1CACD2D5"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color w:val="000000"/>
                <w:sz w:val="20"/>
              </w:rPr>
              <w:t xml:space="preserve">2 / L</w:t>
            </w:r>
            <w:r>
              <w:rPr>
                <w:rFonts w:ascii="Calibri Light" w:hAnsi="Calibri Light" w:eastAsia="Calibri Light" w:cs="Calibri Light"/>
                <w:color w:val="000000"/>
                <w:sz w:val="20"/>
              </w:rPr>
              <w:t xml:space="preserve">a partie </w:t>
            </w:r>
            <w:r>
              <w:rPr>
                <w:rFonts w:ascii="Calibri Light" w:hAnsi="Calibri Light" w:eastAsia="Calibri Light" w:cs="Calibri Light"/>
                <w:b/>
                <w:color w:val="000000"/>
                <w:sz w:val="20"/>
              </w:rPr>
              <w:t xml:space="preserve">santé </w:t>
            </w:r>
            <w:r>
              <w:rPr>
                <w:rFonts w:ascii="Calibri Light" w:hAnsi="Calibri Light" w:eastAsia="Calibri Light" w:cs="Calibri Light"/>
                <w:color w:val="000000"/>
                <w:sz w:val="20"/>
              </w:rPr>
              <w:t xml:space="preserve">aborde les notions </w:t>
            </w:r>
            <w:r>
              <w:rPr>
                <w:rFonts w:ascii="Calibri Light" w:hAnsi="Calibri Light" w:eastAsia="Calibri Light" w:cs="Calibri Light"/>
                <w:color w:val="000000"/>
                <w:sz w:val="20"/>
              </w:rPr>
              <w:t xml:space="preserve">d’introduction à la psychologie de la santé : définitions de la santé et de la sous-discipline, modèles sociocognitifs, modèle biopsychosocial, stress, coping, ajustements et adaptations, résilience, représentations de la maladie, relations soignants-soign</w:t>
            </w:r>
            <w:r>
              <w:rPr>
                <w:rFonts w:ascii="Calibri Light" w:hAnsi="Calibri Light" w:eastAsia="Calibri Light" w:cs="Calibri Light"/>
                <w:color w:val="000000"/>
                <w:sz w:val="20"/>
              </w:rPr>
              <w:t xml:space="preserve">és, stigmatisation et maladie, qualité de vie. Les TD se focalisent d’une part sur les applications à des cas concrets des modèles sociocognitifs et d’autre part sur les notions de représentations de la maladie, stigmatisation et maladie et qualité de vie.</w:t>
            </w:r>
            <w:r/>
          </w:p>
        </w:tc>
      </w:tr>
      <w:tr>
        <w:trPr/>
        <w:tc>
          <w:tcPr>
            <w:shd w:val="clear" w:color="auto" w:fill="auto"/>
            <w:tcBorders>
              <w:top w:val="single" w:color="000000" w:sz="4" w:space="0"/>
              <w:left w:val="single" w:color="000000" w:sz="4" w:space="0"/>
              <w:bottom w:val="single" w:color="000000" w:sz="4" w:space="0"/>
            </w:tcBorders>
            <w:tcW w:w="3402" w:type="dxa"/>
          </w:tcPr>
          <w:p w14:paraId="6715773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3D8C57D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6 ECTS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F54B8D4"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0436C2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49C677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F39D8E2"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Travail</w:t>
            </w:r>
            <w:r>
              <w:rPr>
                <w:rFonts w:ascii="Calibri Light" w:hAnsi="Calibri Light" w:eastAsia="Calibri Light" w:cs="Calibri Light"/>
                <w:color w:val="000000"/>
                <w:sz w:val="20"/>
              </w:rPr>
              <w:t xml:space="preserve"> :</w:t>
            </w:r>
            <w:r/>
          </w:p>
          <w:p w14:paraId="794226B9"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Identifier les grands domaines de la psychologie du travail ; Capacité à développer une approche réflexive sur des champs d’interventions du psychologue du travail ; Connaissance e</w:t>
            </w:r>
            <w:r>
              <w:rPr>
                <w:rFonts w:ascii="Calibri Light" w:hAnsi="Calibri Light" w:eastAsia="Calibri Light" w:cs="Calibri Light"/>
                <w:color w:val="000000"/>
                <w:sz w:val="20"/>
              </w:rPr>
              <w:t xml:space="preserve">t application des modèles de formation d’attitudes au travail et des modèles de prédiction des comportements organisationnels. Capacité à distinguer les deux construits théoriques et à les mettre en articulation dans différents contextes socio-économiques.</w:t>
            </w:r>
            <w:r/>
          </w:p>
          <w:p w14:paraId="79D47220"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b/>
                <w:color w:val="000000"/>
                <w:sz w:val="20"/>
              </w:rPr>
              <w:t xml:space="preserve">Santé</w:t>
            </w:r>
            <w:r>
              <w:rPr>
                <w:rFonts w:ascii="Calibri Light" w:hAnsi="Calibri Light" w:eastAsia="Calibri Light" w:cs="Calibri Light"/>
                <w:color w:val="000000"/>
                <w:sz w:val="20"/>
              </w:rPr>
              <w:t xml:space="preserve"> :</w:t>
            </w:r>
            <w:r/>
          </w:p>
          <w:p w14:paraId="662B3D9E"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Connaissance des notions de base et modèles en psychologie de la santé. Construction d’indicateurs et interprétation relatifs aux modèles socio-cognitifs</w:t>
            </w:r>
            <w:r/>
          </w:p>
          <w:p w14:paraId="23E7CA5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ascii="Calibri Light" w:hAnsi="Calibri Light" w:eastAsia="Calibri Light" w:cs="Calibri Light"/>
                <w:color w:val="000000"/>
                <w:sz w:val="20"/>
              </w:rPr>
              <w:t xml:space="preserve">Reconnaissance de concepts théoriques dans des exemples concrets et cas cliniques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A15E7B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5675B5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1BFDCE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88B03F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Marc </w:t>
            </w:r>
            <w:r>
              <w:rPr>
                <w:rFonts w:eastAsia="Liberation Sans" w:asciiTheme="majorHAnsi" w:hAnsiTheme="majorHAnsi" w:cstheme="majorHAnsi"/>
                <w:color w:val="000000" w:themeColor="text1"/>
                <w:sz w:val="20"/>
                <w:szCs w:val="20"/>
              </w:rPr>
              <w:t xml:space="preserve">Souville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5F4544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952F9CB" w14:textId="77777777">
            <w:pPr>
              <w:pBdr>
                <w:top w:val="none" w:color="000000" w:sz="4" w:space="0"/>
                <w:left w:val="none" w:color="000000" w:sz="4" w:space="0"/>
                <w:bottom w:val="none" w:color="000000" w:sz="4" w:space="0"/>
                <w:right w:val="none" w:color="000000" w:sz="4" w:space="0"/>
              </w:pBdr>
              <w:spacing/>
              <w:ind w:firstLine="0"/>
              <w:rPr/>
            </w:pPr>
            <w:r>
              <w:rPr>
                <w:color w:val="000000"/>
                <w:sz w:val="20"/>
              </w:rPr>
              <w:t xml:space="preserve">Emmanuelle Le </w:t>
            </w:r>
            <w:r>
              <w:rPr>
                <w:color w:val="000000"/>
                <w:sz w:val="20"/>
              </w:rPr>
              <w:t xml:space="preserve">Barbenchon</w:t>
            </w:r>
            <w:r>
              <w:rPr>
                <w:color w:val="000000"/>
                <w:sz w:val="20"/>
              </w:rPr>
              <w:t xml:space="preserve">, Marina </w:t>
            </w:r>
            <w:r>
              <w:rPr>
                <w:color w:val="000000"/>
                <w:sz w:val="20"/>
              </w:rPr>
              <w:t xml:space="preserve">Burakova</w:t>
            </w:r>
            <w:r>
              <w:rPr>
                <w:color w:val="000000"/>
                <w:sz w:val="20"/>
              </w:rPr>
              <w:t xml:space="preserve">, Lionel, Dany, Marc </w:t>
            </w:r>
            <w:r>
              <w:rPr>
                <w:color w:val="000000"/>
                <w:sz w:val="20"/>
              </w:rPr>
              <w:t xml:space="preserve">Souville</w:t>
            </w:r>
            <w:r/>
          </w:p>
        </w:tc>
      </w:tr>
      <w:tr>
        <w:trPr/>
        <w:tc>
          <w:tcPr>
            <w:shd w:val="clear" w:color="auto" w:fill="auto"/>
            <w:tcBorders>
              <w:left w:val="single" w:color="000000" w:sz="4" w:space="0"/>
              <w:bottom w:val="single" w:color="000000" w:sz="4" w:space="0"/>
            </w:tcBorders>
            <w:tcW w:w="3402" w:type="dxa"/>
          </w:tcPr>
          <w:p w14:paraId="034464F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w:t>
            </w:r>
            <w:r>
              <w:rPr>
                <w:rFonts w:eastAsia="Times New Roman"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t xml:space="preserve">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1E1735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098211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73B4900" w14:textId="77777777">
            <w:pPr>
              <w:pBdr>
                <w:top w:val="none" w:color="000000" w:sz="4" w:space="0"/>
                <w:left w:val="none" w:color="000000" w:sz="4" w:space="0"/>
                <w:bottom w:val="none" w:color="000000" w:sz="4" w:space="0"/>
                <w:right w:val="none" w:color="000000" w:sz="4" w:space="0"/>
                <w:between w:val="none" w:color="000000" w:sz="4" w:space="0"/>
              </w:pBdr>
              <w:spacing/>
              <w:ind w:firstLine="0"/>
              <w:contextualSpacing w:val="true"/>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 Cours magistraux et séances de travaux dirigés avec études de cas et exercices pratiques concrets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FF815D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B6B4DD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1D472B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E41111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Français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F458D9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A55FE5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Psychologie sociale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E8B08B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6DAD808" w14:textId="77777777">
            <w:pPr>
              <w:pBdr>
                <w:top w:val="none" w:color="000000" w:sz="4" w:space="0"/>
                <w:left w:val="none" w:color="000000" w:sz="4" w:space="0"/>
                <w:bottom w:val="none" w:color="000000" w:sz="4" w:space="0"/>
                <w:right w:val="none" w:color="000000" w:sz="4" w:space="0"/>
                <w:between w:val="none" w:color="000000" w:sz="4" w:space="0"/>
              </w:pBdr>
              <w:spacing/>
              <w:ind w:firstLine="0"/>
              <w:jc w:val="both"/>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24h CM / 24h TD</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182579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067CE7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b/>
                <w:bCs/>
                <w:color w:val="000000" w:themeColor="text1"/>
                <w:sz w:val="20"/>
                <w:szCs w:val="20"/>
                <w:u w:val="single"/>
              </w:rPr>
              <w:t xml:space="preserve">Travail </w:t>
            </w:r>
            <w:r>
              <w:rPr>
                <w:rFonts w:eastAsia="Liberation Sans"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0968A06C"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eastAsia="Liberation Sans" w:asciiTheme="majorHAnsi" w:hAnsiTheme="majorHAnsi" w:cstheme="majorHAnsi"/>
                <w:color w:val="000000" w:themeColor="text1"/>
                <w:sz w:val="20"/>
                <w:szCs w:val="20"/>
              </w:rPr>
              <w:t xml:space="preserve">Bobillier-Chaumon</w:t>
            </w:r>
            <w:r>
              <w:rPr>
                <w:rFonts w:eastAsia="Liberation Sans" w:asciiTheme="majorHAnsi" w:hAnsiTheme="majorHAnsi" w:cstheme="majorHAnsi"/>
                <w:color w:val="000000" w:themeColor="text1"/>
                <w:sz w:val="20"/>
                <w:szCs w:val="20"/>
              </w:rPr>
              <w:t xml:space="preserve">, M-E, </w:t>
            </w:r>
            <w:r>
              <w:rPr>
                <w:rFonts w:eastAsia="Liberation Sans" w:asciiTheme="majorHAnsi" w:hAnsiTheme="majorHAnsi" w:cstheme="majorHAnsi"/>
                <w:color w:val="000000" w:themeColor="text1"/>
                <w:sz w:val="20"/>
                <w:szCs w:val="20"/>
              </w:rPr>
              <w:t xml:space="preserve">Sarnin</w:t>
            </w:r>
            <w:r>
              <w:rPr>
                <w:rFonts w:eastAsia="Liberation Sans" w:asciiTheme="majorHAnsi" w:hAnsiTheme="majorHAnsi" w:cstheme="majorHAnsi"/>
                <w:color w:val="000000" w:themeColor="text1"/>
                <w:sz w:val="20"/>
                <w:szCs w:val="20"/>
              </w:rPr>
              <w:t xml:space="preserve">, P. </w:t>
            </w:r>
            <w:r>
              <w:rPr>
                <w:rFonts w:eastAsia="Liberation Sans" w:asciiTheme="majorHAnsi" w:hAnsiTheme="majorHAnsi" w:cstheme="majorHAnsi"/>
                <w:color w:val="000000" w:themeColor="text1"/>
                <w:sz w:val="20"/>
                <w:szCs w:val="20"/>
              </w:rPr>
              <w:t xml:space="preserve">Eds</w:t>
            </w:r>
            <w:r>
              <w:rPr>
                <w:rFonts w:eastAsia="Liberation Sans" w:asciiTheme="majorHAnsi" w:hAnsiTheme="majorHAnsi" w:cstheme="majorHAnsi"/>
                <w:color w:val="000000" w:themeColor="text1"/>
                <w:sz w:val="20"/>
                <w:szCs w:val="20"/>
              </w:rPr>
              <w:t xml:space="preserve">. (2012, 2021). Manuel de psychologie du travail et des organisations : Les enjeux psychologiques du travail. Paris : De Boeck.</w:t>
            </w:r>
            <w:r/>
          </w:p>
          <w:p w14:paraId="0DDF060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Spector</w:t>
            </w:r>
            <w:r>
              <w:rPr>
                <w:rFonts w:eastAsia="Liberation Sans" w:asciiTheme="majorHAnsi" w:hAnsiTheme="majorHAnsi" w:cstheme="majorHAnsi"/>
                <w:color w:val="000000" w:themeColor="text1"/>
                <w:sz w:val="20"/>
                <w:szCs w:val="20"/>
              </w:rPr>
              <w:t xml:space="preserve">, P. (2011, 2e édition 2020). Psychologie du travail et des organisations. Paris : De Boeck.</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3FF64C1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Sarnin</w:t>
            </w:r>
            <w:r>
              <w:rPr>
                <w:rFonts w:eastAsia="Liberation Sans" w:asciiTheme="majorHAnsi" w:hAnsiTheme="majorHAnsi" w:cstheme="majorHAnsi"/>
                <w:color w:val="000000" w:themeColor="text1"/>
                <w:sz w:val="20"/>
                <w:szCs w:val="20"/>
              </w:rPr>
              <w:t xml:space="preserve">, P. (2007). Psychologie du travail et des organisations. </w:t>
            </w:r>
            <w:r>
              <w:rPr>
                <w:rFonts w:eastAsia="Liberation Sans" w:asciiTheme="majorHAnsi" w:hAnsiTheme="majorHAnsi" w:cstheme="majorHAnsi"/>
                <w:color w:val="000000" w:themeColor="text1"/>
                <w:sz w:val="20"/>
                <w:szCs w:val="20"/>
              </w:rPr>
              <w:t xml:space="preserve">Paris:</w:t>
            </w:r>
            <w:r>
              <w:rPr>
                <w:rFonts w:eastAsia="Liberation Sans" w:asciiTheme="majorHAnsi" w:hAnsiTheme="majorHAnsi" w:cstheme="majorHAnsi"/>
                <w:color w:val="000000" w:themeColor="text1"/>
                <w:sz w:val="20"/>
                <w:szCs w:val="20"/>
              </w:rPr>
              <w:t xml:space="preserve"> De Boeck. 220 pages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66D23EF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2AC6421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b/>
                <w:bCs/>
                <w:color w:val="000000" w:themeColor="text1"/>
                <w:sz w:val="20"/>
                <w:szCs w:val="20"/>
                <w:u w:val="single"/>
              </w:rPr>
              <w:t xml:space="preserve">Santé </w:t>
            </w:r>
            <w:r>
              <w:rPr>
                <w:rFonts w:eastAsia="Liberation Sans"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12E1C386"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eastAsia="Liberation Sans" w:asciiTheme="majorHAnsi" w:hAnsiTheme="majorHAnsi" w:cstheme="majorHAnsi"/>
                <w:color w:val="000000" w:themeColor="text1"/>
                <w:sz w:val="20"/>
                <w:szCs w:val="20"/>
              </w:rPr>
              <w:t xml:space="preserve">Bruchon-Schweitzer, M., &amp; </w:t>
            </w:r>
            <w:r>
              <w:rPr>
                <w:rFonts w:eastAsia="Liberation Sans" w:asciiTheme="majorHAnsi" w:hAnsiTheme="majorHAnsi" w:cstheme="majorHAnsi"/>
                <w:color w:val="000000" w:themeColor="text1"/>
                <w:sz w:val="20"/>
                <w:szCs w:val="20"/>
              </w:rPr>
              <w:t xml:space="preserve">Boujut</w:t>
            </w:r>
            <w:r>
              <w:rPr>
                <w:rFonts w:eastAsia="Liberation Sans" w:asciiTheme="majorHAnsi" w:hAnsiTheme="majorHAnsi" w:cstheme="majorHAnsi"/>
                <w:color w:val="000000" w:themeColor="text1"/>
                <w:sz w:val="20"/>
                <w:szCs w:val="20"/>
              </w:rPr>
              <w:t xml:space="preserve">, E. (2021). Psychologie de la santé-2e </w:t>
            </w:r>
            <w:r>
              <w:rPr>
                <w:rFonts w:eastAsia="Liberation Sans" w:asciiTheme="majorHAnsi" w:hAnsiTheme="majorHAnsi" w:cstheme="majorHAnsi"/>
                <w:color w:val="000000" w:themeColor="text1"/>
                <w:sz w:val="20"/>
                <w:szCs w:val="20"/>
              </w:rPr>
              <w:t xml:space="preserve">éd:</w:t>
            </w:r>
            <w:r>
              <w:rPr>
                <w:rFonts w:eastAsia="Liberation Sans" w:asciiTheme="majorHAnsi" w:hAnsiTheme="majorHAnsi" w:cstheme="majorHAnsi"/>
                <w:color w:val="000000" w:themeColor="text1"/>
                <w:sz w:val="20"/>
                <w:szCs w:val="20"/>
              </w:rPr>
              <w:t xml:space="preserve"> Concepts, méthodes et modèles. Dunod.</w:t>
            </w:r>
            <w:r/>
          </w:p>
          <w:p w14:paraId="7A169F61"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eastAsia="Liberation Sans" w:asciiTheme="majorHAnsi" w:hAnsiTheme="majorHAnsi" w:cstheme="majorHAnsi"/>
                <w:color w:val="000000" w:themeColor="text1"/>
                <w:sz w:val="20"/>
                <w:szCs w:val="20"/>
              </w:rPr>
              <w:t xml:space="preserve">Fischer, G., </w:t>
            </w:r>
            <w:r>
              <w:rPr>
                <w:rFonts w:eastAsia="Liberation Sans" w:asciiTheme="majorHAnsi" w:hAnsiTheme="majorHAnsi" w:cstheme="majorHAnsi"/>
                <w:color w:val="000000" w:themeColor="text1"/>
                <w:sz w:val="20"/>
                <w:szCs w:val="20"/>
              </w:rPr>
              <w:t xml:space="preserve">Tarquinio</w:t>
            </w:r>
            <w:r>
              <w:rPr>
                <w:rFonts w:eastAsia="Liberation Sans" w:asciiTheme="majorHAnsi" w:hAnsiTheme="majorHAnsi" w:cstheme="majorHAnsi"/>
                <w:color w:val="000000" w:themeColor="text1"/>
                <w:sz w:val="20"/>
                <w:szCs w:val="20"/>
              </w:rPr>
              <w:t xml:space="preserve">, C., </w:t>
            </w:r>
            <w:r>
              <w:rPr>
                <w:rFonts w:eastAsia="Liberation Sans" w:asciiTheme="majorHAnsi" w:hAnsiTheme="majorHAnsi" w:cstheme="majorHAnsi"/>
                <w:color w:val="000000" w:themeColor="text1"/>
                <w:sz w:val="20"/>
                <w:szCs w:val="20"/>
              </w:rPr>
              <w:t xml:space="preserve">Dodeler</w:t>
            </w:r>
            <w:r>
              <w:rPr>
                <w:rFonts w:eastAsia="Liberation Sans" w:asciiTheme="majorHAnsi" w:hAnsiTheme="majorHAnsi" w:cstheme="majorHAnsi"/>
                <w:color w:val="000000" w:themeColor="text1"/>
                <w:sz w:val="20"/>
                <w:szCs w:val="20"/>
              </w:rPr>
              <w:t xml:space="preserve">, V. (2020). Les bases de la psychologie de la </w:t>
            </w:r>
            <w:r>
              <w:rPr>
                <w:rFonts w:eastAsia="Liberation Sans" w:asciiTheme="majorHAnsi" w:hAnsiTheme="majorHAnsi" w:cstheme="majorHAnsi"/>
                <w:color w:val="000000" w:themeColor="text1"/>
                <w:sz w:val="20"/>
                <w:szCs w:val="20"/>
              </w:rPr>
              <w:t xml:space="preserve">santé:</w:t>
            </w:r>
            <w:r>
              <w:rPr>
                <w:rFonts w:eastAsia="Liberation Sans" w:asciiTheme="majorHAnsi" w:hAnsiTheme="majorHAnsi" w:cstheme="majorHAnsi"/>
                <w:color w:val="000000" w:themeColor="text1"/>
                <w:sz w:val="20"/>
                <w:szCs w:val="20"/>
              </w:rPr>
              <w:t xml:space="preserve"> Concepts, applications et perspectives. Dunod. https://doi.org/10.3917/dunod.fisch.2020.02</w:t>
            </w:r>
            <w:r/>
          </w:p>
          <w:p w14:paraId="50ED32D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Ogden, J. (2014). Psychologie de la santé. De Boeck </w:t>
            </w:r>
            <w:r>
              <w:rPr>
                <w:rFonts w:eastAsia="Liberation Sans" w:asciiTheme="majorHAnsi" w:hAnsiTheme="majorHAnsi" w:cstheme="majorHAnsi"/>
                <w:color w:val="000000" w:themeColor="text1"/>
                <w:sz w:val="20"/>
                <w:szCs w:val="20"/>
              </w:rPr>
              <w:t xml:space="preserve">Superieur</w:t>
            </w:r>
            <w:r>
              <w:rPr>
                <w:rFonts w:eastAsia="Liberation Sans"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d9d9d9" w:themeFill="background1" w:themeFillShade="D9"/>
            <w:tcBorders>
              <w:left w:val="single" w:color="000000" w:sz="4" w:space="0"/>
              <w:bottom w:val="single" w:color="000000" w:sz="4" w:space="0"/>
            </w:tcBorders>
            <w:tcW w:w="3402" w:type="dxa"/>
          </w:tcPr>
          <w:p w14:paraId="7CD567D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d9d9d9" w:themeFill="background1" w:themeFillShade="D9"/>
            <w:tcBorders>
              <w:left w:val="single" w:color="000000" w:sz="4" w:space="0"/>
              <w:bottom w:val="single" w:color="000000" w:sz="4" w:space="0"/>
              <w:right w:val="single" w:color="000000" w:sz="4" w:space="0"/>
            </w:tcBorders>
            <w:tcW w:w="6236" w:type="dxa"/>
          </w:tcPr>
          <w:p w14:paraId="21FE465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1030AD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obligatoire</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CC4474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Cours de psychologie sociale de L1 et de L2 et L3 (S5)</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3A5C07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recommandé</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8D56A0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469555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7FB795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5FD7DE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8D536A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ascii="Calibri Light" w:hAnsi="Calibri Light" w:eastAsia="Calibri Light" w:cs="Calibri Light"/>
                <w:i/>
                <w:color w:val="000000"/>
                <w:sz w:val="20"/>
              </w:rPr>
              <w:t xml:space="preserve">Contrôle terminal écrit sur table de 2 heures</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r>
    </w:tbl>
    <w:p w14:paraId="77B2F03A" w14:textId="26B6D3DD">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EEA8340" w14:textId="15BA1069">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E143DAD" w14:textId="098ECBCD">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62D228E" w14:textId="4C938C6F">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37F58E9" w14:textId="5782D3A3">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0FDEAC2" w14:textId="3823E673">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44C98AD" w14:textId="198A08F4">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F8645E4" w14:textId="3D342015">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3BFA0D2" w14:textId="39894DF0">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37FCC1F" w14:textId="38C6BC98">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B3DEC4F" w14:textId="519F6B6A">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BE89DBE" w14:textId="55F872DD">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75B7768" w14:textId="4B009291">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7003B0F2" w14:textId="58A81FCF">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4D9379E" w14:textId="5C37860F">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91EC93C" w14:textId="0D1AF032">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D7D6922" w14:textId="2F371552">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F39A7B4" w14:textId="11E39815">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34E227C" w14:textId="478DEC7A">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AB5E0B5" w14:textId="1E7A582C">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6955059" w14:textId="3938414C">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E2DC7B7" w14:textId="7D539FC7">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0C258F81" w14:textId="17FF053B">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D787935" w14:textId="01CEB8C1">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72927710" w14:textId="77EE8E6F">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5DB1F34" w14:textId="1248D081">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0E73AAB3" w14:textId="06685399">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B5BBB64" w14:textId="3930EEFA">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54CCC35" w14:textId="0E42C980">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338E87A" w14:textId="293B53E8">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40EBEF9" w14:textId="24C1528A">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7884A2E" w14:textId="32929C94">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D8DB9C0" w14:textId="011BC861">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1E2EB9C" w14:textId="19758642">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CAC5500" w14:textId="0A45B9FB">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tbl>
      <w:tblPr>
        <w:tblStyle w:val="1171"/>
        <w:tblInd w:w="57" w:type="dxa"/>
        <w:tblW w:w="9638" w:type="dxa"/>
        <w:tblBorders/>
        <w:tblLayout w:type="fixed"/>
        <w:tblLook w:val="0000" w:firstRow="0" w:lastRow="0" w:firstColumn="0" w:lastColumn="0" w:noHBand="0" w:noVBand="0"/>
      </w:tblPr>
      <w:tblGrid>
        <w:gridCol w:w="2920"/>
        <w:gridCol w:w="6718"/>
      </w:tblGrid>
      <w:tr>
        <w:trPr/>
        <w:tc>
          <w:tcPr>
            <w:shd w:val="clear" w:color="auto" w:fill="e6e6e6"/>
            <w:tcBorders>
              <w:top w:val="single" w:color="000000" w:sz="4" w:space="0"/>
              <w:left w:val="single" w:color="000000" w:sz="4" w:space="0"/>
              <w:bottom w:val="single" w:color="000000" w:sz="4" w:space="0"/>
            </w:tcBorders>
            <w:tcW w:w="2920" w:type="dxa"/>
          </w:tcPr>
          <w:p w14:paraId="7E1CD69D"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718" w:type="dxa"/>
          </w:tcPr>
          <w:p w14:paraId="3362401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2920" w:type="dxa"/>
          </w:tcPr>
          <w:p w14:paraId="5BA9280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718" w:type="dxa"/>
          </w:tcPr>
          <w:p w14:paraId="0372739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SNR6U01</w:t>
            </w:r>
            <w:r>
              <w:rPr>
                <w:rFonts w:eastAsia="Liberation Sans" w:asciiTheme="majorHAnsi" w:hAnsiTheme="majorHAnsi" w:cstheme="majorHAnsi"/>
                <w:b/>
                <w:color w:val="000000" w:themeColor="text1"/>
                <w:sz w:val="20"/>
                <w:szCs w:val="20"/>
                <w:highlight w:val="yellow"/>
              </w:rPr>
            </w:r>
            <w:r>
              <w:rPr>
                <w:rFonts w:eastAsia="Liberation Sans" w:asciiTheme="majorHAnsi" w:hAnsiTheme="majorHAnsi" w:cstheme="majorHAnsi"/>
                <w:b/>
                <w:color w:val="000000" w:themeColor="text1"/>
                <w:sz w:val="20"/>
                <w:szCs w:val="20"/>
                <w:highlight w:val="yellow"/>
              </w:rPr>
            </w:r>
          </w:p>
        </w:tc>
      </w:tr>
      <w:tr>
        <w:trPr/>
        <w:tc>
          <w:tcPr>
            <w:shd w:val="clear" w:color="auto" w:fill="auto"/>
            <w:tcBorders>
              <w:left w:val="single" w:color="000000" w:sz="4" w:space="0"/>
              <w:bottom w:val="single" w:color="000000" w:sz="4" w:space="0"/>
            </w:tcBorders>
            <w:tcW w:w="2920" w:type="dxa"/>
          </w:tcPr>
          <w:p w14:paraId="305680A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718" w:type="dxa"/>
          </w:tcPr>
          <w:p w14:paraId="0193165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Neurosciences 6</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2920" w:type="dxa"/>
          </w:tcPr>
          <w:p w14:paraId="238E319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718" w:type="dxa"/>
          </w:tcPr>
          <w:p w14:paraId="211115C1" w14:textId="77777777">
            <w:pPr>
              <w:pBdr>
                <w:top w:val="none" w:color="000000" w:sz="4" w:space="0"/>
                <w:left w:val="none" w:color="000000" w:sz="4" w:space="0"/>
                <w:bottom w:val="none" w:color="000000" w:sz="4" w:space="0"/>
                <w:right w:val="none" w:color="000000" w:sz="4" w:space="0"/>
                <w:between w:val="none" w:color="000000" w:sz="4" w:space="0"/>
              </w:pBdr>
              <w:spacing/>
              <w:ind w:firstLine="0"/>
              <w:rPr>
                <w:color w:val="000000" w:themeColor="text1"/>
                <w:sz w:val="20"/>
                <w:szCs w:val="20"/>
              </w:rPr>
            </w:pPr>
            <w:r>
              <w:rPr>
                <w:rFonts w:eastAsia="Arial"/>
                <w:color w:val="000000"/>
                <w:sz w:val="20"/>
                <w:szCs w:val="20"/>
              </w:rPr>
              <w:t xml:space="preserve">Périodes critiques développementales, facteurs épigénétiques, cartes corticales, plasticité chez l'adulte. Neurobiologie, émotions basiques/complexes, marqueurs somatiques, évaluation cognitive, constructivisme</w:t>
            </w:r>
            <w:r>
              <w:rPr>
                <w:rFonts w:eastAsia="Arial"/>
                <w:color w:val="000000"/>
                <w:sz w:val="20"/>
                <w:szCs w:val="20"/>
              </w:rPr>
              <w:t xml:space="preserve">, ,</w:t>
            </w:r>
            <w:r>
              <w:rPr>
                <w:rFonts w:eastAsia="Arial"/>
                <w:color w:val="000000"/>
                <w:sz w:val="20"/>
                <w:szCs w:val="20"/>
              </w:rPr>
              <w:t xml:space="preserve"> ontogenèse, hormones.</w:t>
            </w:r>
            <w:r>
              <w:rPr>
                <w:color w:val="000000" w:themeColor="text1"/>
                <w:sz w:val="20"/>
                <w:szCs w:val="20"/>
              </w:rPr>
            </w:r>
            <w:r>
              <w:rPr>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2920" w:type="dxa"/>
          </w:tcPr>
          <w:p w14:paraId="685D193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718" w:type="dxa"/>
          </w:tcPr>
          <w:p w14:paraId="569CE680" w14:textId="77777777">
            <w:pPr>
              <w:pBdr>
                <w:top w:val="none" w:color="000000" w:sz="4" w:space="0"/>
                <w:left w:val="none" w:color="000000" w:sz="4" w:space="0"/>
                <w:bottom w:val="none" w:color="000000" w:sz="4" w:space="0"/>
                <w:right w:val="none" w:color="000000" w:sz="4" w:space="0"/>
              </w:pBdr>
              <w:spacing w:after="160" w:line="276" w:lineRule="atLeast"/>
              <w:ind w:firstLine="0"/>
              <w:rPr>
                <w:sz w:val="20"/>
                <w:szCs w:val="20"/>
              </w:rPr>
            </w:pPr>
            <w:r>
              <w:rPr>
                <w:rFonts w:eastAsia="Arial"/>
                <w:color w:val="000000"/>
                <w:sz w:val="20"/>
                <w:szCs w:val="20"/>
              </w:rPr>
              <w:t xml:space="preserve">Cette UE est composée de deux thématiques complémentaires : </w:t>
            </w:r>
            <w:r>
              <w:rPr>
                <w:sz w:val="20"/>
                <w:szCs w:val="20"/>
              </w:rPr>
            </w:r>
            <w:r>
              <w:rPr>
                <w:sz w:val="20"/>
                <w:szCs w:val="20"/>
              </w:rPr>
            </w:r>
          </w:p>
          <w:p w14:paraId="5C438F5F" w14:textId="77777777">
            <w:pPr>
              <w:pBdr>
                <w:top w:val="none" w:color="000000" w:sz="4" w:space="0"/>
                <w:left w:val="none" w:color="000000" w:sz="4" w:space="0"/>
                <w:bottom w:val="none" w:color="000000" w:sz="4" w:space="0"/>
                <w:right w:val="none" w:color="000000" w:sz="4" w:space="0"/>
              </w:pBdr>
              <w:spacing w:after="160" w:line="276" w:lineRule="atLeast"/>
              <w:ind w:firstLine="0"/>
              <w:rPr>
                <w:sz w:val="20"/>
                <w:szCs w:val="20"/>
              </w:rPr>
            </w:pPr>
            <w:r>
              <w:rPr>
                <w:rFonts w:eastAsia="Century Gothic"/>
                <w:color w:val="000000"/>
                <w:sz w:val="16"/>
                <w:szCs w:val="16"/>
              </w:rPr>
              <w:t xml:space="preserve">●</w:t>
            </w:r>
            <w:r>
              <w:rPr>
                <w:rFonts w:eastAsia="Arial"/>
                <w:color w:val="000000"/>
                <w:sz w:val="20"/>
                <w:szCs w:val="20"/>
              </w:rPr>
              <w:t xml:space="preserve"> Développement et Plasticité du système nerveux (responsable : Yoh’i Zennou-Azogui)</w:t>
            </w:r>
            <w:r>
              <w:rPr>
                <w:sz w:val="20"/>
                <w:szCs w:val="20"/>
              </w:rPr>
            </w:r>
            <w:r>
              <w:rPr>
                <w:sz w:val="20"/>
                <w:szCs w:val="20"/>
              </w:rPr>
            </w:r>
          </w:p>
          <w:p w14:paraId="26E0054E" w14:textId="77777777">
            <w:pPr>
              <w:pBdr>
                <w:top w:val="none" w:color="000000" w:sz="4" w:space="0"/>
                <w:left w:val="none" w:color="000000" w:sz="4" w:space="0"/>
                <w:bottom w:val="none" w:color="000000" w:sz="4" w:space="0"/>
                <w:right w:val="none" w:color="000000" w:sz="4" w:space="0"/>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160" w:line="276" w:lineRule="atLeast"/>
              <w:ind w:firstLine="0"/>
              <w:jc w:val="both"/>
              <w:rPr>
                <w:sz w:val="20"/>
                <w:szCs w:val="20"/>
              </w:rPr>
            </w:pPr>
            <w:r>
              <w:rPr>
                <w:rFonts w:eastAsia="Arial"/>
                <w:color w:val="000000"/>
                <w:sz w:val="20"/>
                <w:szCs w:val="20"/>
              </w:rPr>
              <w:t xml:space="preserve">Cette partie sera consacrée à l'étude de la plasticité du système nerveux au cours de la vie, ses mécanismes et ses corrélats fonctionnels.</w:t>
            </w:r>
            <w:r>
              <w:rPr>
                <w:sz w:val="20"/>
                <w:szCs w:val="20"/>
              </w:rPr>
            </w:r>
            <w:r>
              <w:rPr>
                <w:sz w:val="20"/>
                <w:szCs w:val="20"/>
              </w:rPr>
            </w:r>
          </w:p>
          <w:p w14:paraId="7B385A59" w14:textId="77777777">
            <w:pPr>
              <w:pBdr>
                <w:top w:val="none" w:color="000000" w:sz="4" w:space="0"/>
                <w:left w:val="none" w:color="000000" w:sz="4" w:space="0"/>
                <w:bottom w:val="none" w:color="000000" w:sz="4" w:space="0"/>
                <w:right w:val="none" w:color="000000" w:sz="4" w:space="0"/>
              </w:pBdr>
              <w:spacing w:after="160" w:line="276" w:lineRule="atLeast"/>
              <w:ind w:firstLine="0"/>
              <w:jc w:val="both"/>
              <w:rPr>
                <w:sz w:val="20"/>
                <w:szCs w:val="20"/>
              </w:rPr>
            </w:pPr>
            <w:r>
              <w:rPr>
                <w:rFonts w:eastAsia="Arial"/>
                <w:color w:val="000000"/>
                <w:sz w:val="20"/>
                <w:szCs w:val="20"/>
              </w:rPr>
              <w:t xml:space="preserve">Nous traiterons du rôle des facteurs épigénétiques (environnementaux) dans le développement des fonctions nerveuses ainsi que du rôle de l'expérience et des apprentissages sur le cerveau adulte intact et plus particulièrement sur la </w:t>
            </w:r>
            <w:r>
              <w:rPr>
                <w:rFonts w:eastAsia="Arial"/>
                <w:color w:val="000000"/>
                <w:sz w:val="20"/>
                <w:szCs w:val="20"/>
              </w:rPr>
              <w:t xml:space="preserve">malléabilité des représentations corticales sensorielles et motrices. Les problématiques d'inné et d'acquis, de périodes critiques développementales, d'adaptation à l'environnement chez l'adulte constituent les notions clés abordées dans cet enseignement. </w:t>
            </w:r>
            <w:r>
              <w:rPr>
                <w:sz w:val="20"/>
                <w:szCs w:val="20"/>
              </w:rPr>
            </w:r>
            <w:r>
              <w:rPr>
                <w:sz w:val="20"/>
                <w:szCs w:val="20"/>
              </w:rPr>
            </w:r>
          </w:p>
          <w:p w14:paraId="3BEF0071" w14:textId="77777777">
            <w:pPr>
              <w:pBdr>
                <w:top w:val="none" w:color="000000" w:sz="4" w:space="0"/>
                <w:left w:val="none" w:color="000000" w:sz="4" w:space="0"/>
                <w:bottom w:val="none" w:color="000000" w:sz="4" w:space="0"/>
                <w:right w:val="none" w:color="000000" w:sz="4" w:space="0"/>
              </w:pBdr>
              <w:spacing w:after="160" w:line="276" w:lineRule="atLeast"/>
              <w:ind w:firstLine="0"/>
              <w:rPr>
                <w:sz w:val="20"/>
                <w:szCs w:val="20"/>
              </w:rPr>
            </w:pPr>
            <w:r>
              <w:rPr>
                <w:rFonts w:eastAsia="Century Gothic"/>
                <w:color w:val="000000"/>
                <w:sz w:val="16"/>
                <w:szCs w:val="16"/>
              </w:rPr>
              <w:t xml:space="preserve">●</w:t>
            </w:r>
            <w:r>
              <w:rPr>
                <w:rFonts w:eastAsia="Arial"/>
                <w:color w:val="000000"/>
                <w:sz w:val="16"/>
                <w:szCs w:val="16"/>
              </w:rPr>
              <w:t xml:space="preserve"> </w:t>
            </w:r>
            <w:r>
              <w:rPr>
                <w:rFonts w:eastAsia="Arial"/>
                <w:color w:val="000000"/>
                <w:sz w:val="20"/>
                <w:szCs w:val="20"/>
              </w:rPr>
              <w:t xml:space="preserve">Psychophysiologie des émotions (responsable : Bruno Truchet)</w:t>
            </w:r>
            <w:r>
              <w:rPr>
                <w:sz w:val="20"/>
                <w:szCs w:val="20"/>
              </w:rPr>
            </w:r>
            <w:r>
              <w:rPr>
                <w:sz w:val="20"/>
                <w:szCs w:val="20"/>
              </w:rPr>
            </w:r>
          </w:p>
          <w:p w14:paraId="5AF0CF7B" w14:textId="77777777">
            <w:pPr>
              <w:pBdr>
                <w:top w:val="none" w:color="000000" w:sz="4" w:space="0"/>
                <w:left w:val="none" w:color="000000" w:sz="4" w:space="0"/>
                <w:bottom w:val="none" w:color="000000" w:sz="4" w:space="0"/>
                <w:right w:val="none" w:color="000000" w:sz="4" w:space="0"/>
              </w:pBdr>
              <w:spacing w:after="160" w:line="276" w:lineRule="atLeast"/>
              <w:ind w:firstLine="0"/>
              <w:jc w:val="both"/>
              <w:rPr/>
            </w:pPr>
            <w:r>
              <w:rPr>
                <w:rFonts w:eastAsia="Arial"/>
                <w:color w:val="000000"/>
                <w:sz w:val="20"/>
                <w:szCs w:val="20"/>
              </w:rPr>
              <w:t xml:space="preserve">Cette partie sera consacrée aux principales théories neuroscientifiques/psychophysiologiques des émotions (avec une description des fonctionnements cérébraux et comportements associés), ainsi qu’à l’ontogenèse des émotions et de</w:t>
            </w:r>
            <w:r>
              <w:rPr>
                <w:rFonts w:eastAsia="Arial"/>
                <w:color w:val="000000"/>
                <w:sz w:val="20"/>
                <w:szCs w:val="20"/>
              </w:rPr>
              <w:t xml:space="preserve">s influences hormonales sur les comportements émotionnels. Les descriptions de ces différents aspects se feront souvent via l’analyse d’études ou de textes scientifiques. Les séances de cours se basent sur une forte interactivité entre l’enseignant et les </w:t>
            </w:r>
            <w:r>
              <w:rPr>
                <w:rFonts w:eastAsia="Arial"/>
                <w:color w:val="000000"/>
                <w:sz w:val="20"/>
                <w:szCs w:val="20"/>
              </w:rPr>
              <w:t xml:space="preserve">étudiant.</w:t>
            </w:r>
            <w:r>
              <w:rPr>
                <w:rFonts w:eastAsia="Arial"/>
                <w:color w:val="000000"/>
                <w:sz w:val="20"/>
                <w:szCs w:val="20"/>
              </w:rPr>
              <w:t xml:space="preserve">e.s</w:t>
            </w:r>
            <w:r>
              <w:rPr>
                <w:rFonts w:eastAsia="Arial"/>
                <w:color w:val="000000"/>
                <w:sz w:val="20"/>
                <w:szCs w:val="20"/>
              </w:rPr>
              <w:t xml:space="preserve">, pour apprendre les bases du raisonnement scientifique.</w:t>
            </w:r>
            <w:r/>
          </w:p>
        </w:tc>
      </w:tr>
      <w:tr>
        <w:trPr/>
        <w:tc>
          <w:tcPr>
            <w:shd w:val="clear" w:color="auto" w:fill="auto"/>
            <w:tcBorders>
              <w:top w:val="single" w:color="000000" w:sz="4" w:space="0"/>
              <w:left w:val="single" w:color="000000" w:sz="4" w:space="0"/>
              <w:bottom w:val="single" w:color="000000" w:sz="4" w:space="0"/>
            </w:tcBorders>
            <w:tcW w:w="2920" w:type="dxa"/>
          </w:tcPr>
          <w:p w14:paraId="3F830245"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718" w:type="dxa"/>
          </w:tcPr>
          <w:p w14:paraId="1FFAD9E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2920" w:type="dxa"/>
          </w:tcPr>
          <w:p w14:paraId="33EC5FD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718" w:type="dxa"/>
          </w:tcPr>
          <w:p w14:paraId="0E25F44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6 ECTS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2920" w:type="dxa"/>
          </w:tcPr>
          <w:p w14:paraId="78B94DCD"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718" w:type="dxa"/>
          </w:tcPr>
          <w:p w14:paraId="77EAB63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2920" w:type="dxa"/>
          </w:tcPr>
          <w:p w14:paraId="7A21021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718" w:type="dxa"/>
          </w:tcPr>
          <w:p w14:paraId="5F5AD83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Arial" w:hAnsi="Arial" w:eastAsia="Arial" w:cs="Arial"/>
                <w:color w:val="000000"/>
                <w:sz w:val="20"/>
                <w:szCs w:val="20"/>
              </w:rPr>
            </w:pPr>
            <w:r>
              <w:rPr>
                <w:rFonts w:ascii="Arial" w:hAnsi="Arial" w:eastAsia="Arial" w:cs="Arial"/>
                <w:color w:val="000000"/>
                <w:sz w:val="20"/>
                <w:szCs w:val="20"/>
                <w:u w:val="single"/>
              </w:rPr>
              <w:t xml:space="preserve">Partie Plasticité</w:t>
            </w:r>
            <w:r>
              <w:rPr>
                <w:rFonts w:ascii="Arial" w:hAnsi="Arial" w:eastAsia="Arial" w:cs="Arial"/>
                <w:color w:val="000000"/>
                <w:sz w:val="20"/>
                <w:szCs w:val="20"/>
              </w:rPr>
              <w:t xml:space="preserve"> : La prise en compte de l'influence de l'environnement et de l'expérience sur le développement et l'adaptation au cours de la vie des représentations sensorimotrices et cognitives</w:t>
            </w:r>
            <w:r>
              <w:rPr>
                <w:rFonts w:ascii="Arial" w:hAnsi="Arial" w:eastAsia="Arial" w:cs="Arial"/>
                <w:color w:val="000000"/>
                <w:sz w:val="20"/>
                <w:szCs w:val="20"/>
              </w:rPr>
            </w:r>
            <w:r>
              <w:rPr>
                <w:rFonts w:ascii="Arial" w:hAnsi="Arial" w:eastAsia="Arial" w:cs="Arial"/>
                <w:color w:val="000000"/>
                <w:sz w:val="20"/>
                <w:szCs w:val="20"/>
              </w:rPr>
            </w:r>
          </w:p>
          <w:p w14:paraId="3B25CA6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ascii="Arial" w:hAnsi="Arial" w:eastAsia="Arial" w:cs="Arial"/>
                <w:color w:val="000000"/>
                <w:sz w:val="20"/>
                <w:szCs w:val="20"/>
                <w:u w:val="single"/>
              </w:rPr>
              <w:t xml:space="preserve">Partie Emotions</w:t>
            </w:r>
            <w:r>
              <w:rPr>
                <w:rFonts w:ascii="Arial" w:hAnsi="Arial" w:eastAsia="Arial" w:cs="Arial"/>
                <w:color w:val="000000"/>
                <w:sz w:val="20"/>
                <w:szCs w:val="20"/>
              </w:rPr>
              <w:t xml:space="preserve"> : Acquisition d’un esprit critique, basé sur des concepts et données scientifiq</w:t>
            </w:r>
            <w:r>
              <w:rPr>
                <w:rFonts w:ascii="Arial" w:hAnsi="Arial" w:eastAsia="Arial" w:cs="Arial"/>
                <w:color w:val="000000"/>
                <w:sz w:val="20"/>
                <w:szCs w:val="20"/>
              </w:rPr>
              <w:t xml:space="preserve">ues. Capacité à élaborer des protocoles pour répondre à une question scientifique. Capacité à analyser des documents. Capacité à présenter des études issues d’articles en anglais, publiés dans des journaux scientifiques internationaux à comité de lecture.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2920" w:type="dxa"/>
          </w:tcPr>
          <w:p w14:paraId="4445F94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718" w:type="dxa"/>
          </w:tcPr>
          <w:p w14:paraId="4B78194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2920" w:type="dxa"/>
          </w:tcPr>
          <w:p w14:paraId="6FDCB34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718" w:type="dxa"/>
          </w:tcPr>
          <w:p w14:paraId="00D5AC8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Yoh’i Zennou-Azogui &amp; Bruno Truchet</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2920" w:type="dxa"/>
          </w:tcPr>
          <w:p w14:paraId="2BCE3D4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718" w:type="dxa"/>
          </w:tcPr>
          <w:p w14:paraId="22114F6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color w:val="000000"/>
              </w:rPr>
            </w:pPr>
            <w:r>
              <w:rPr>
                <w:rFonts w:eastAsia="Liberation Sans" w:asciiTheme="majorHAnsi" w:hAnsiTheme="majorHAnsi" w:cstheme="majorHAnsi"/>
                <w:color w:val="000000" w:themeColor="text1"/>
                <w:sz w:val="20"/>
                <w:szCs w:val="20"/>
              </w:rPr>
              <w:t xml:space="preserve">Yoh’i Zennou-Azogui &amp; Bruno Truchet</w:t>
            </w:r>
            <w:r>
              <w:rPr>
                <w:rFonts w:eastAsia="Liberation Sans"/>
                <w:color w:val="000000"/>
              </w:rPr>
            </w:r>
            <w:r>
              <w:rPr>
                <w:rFonts w:eastAsia="Liberation Sans"/>
                <w:color w:val="000000"/>
              </w:rPr>
            </w:r>
          </w:p>
        </w:tc>
      </w:tr>
      <w:tr>
        <w:trPr/>
        <w:tc>
          <w:tcPr>
            <w:shd w:val="clear" w:color="auto" w:fill="auto"/>
            <w:tcBorders>
              <w:left w:val="single" w:color="000000" w:sz="4" w:space="0"/>
              <w:bottom w:val="single" w:color="000000" w:sz="4" w:space="0"/>
            </w:tcBorders>
            <w:tcW w:w="2920" w:type="dxa"/>
          </w:tcPr>
          <w:p w14:paraId="7B474E6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w:t>
            </w:r>
            <w:r>
              <w:rPr>
                <w:rFonts w:eastAsia="Times New Roman"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t xml:space="preserve">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718" w:type="dxa"/>
          </w:tcPr>
          <w:p w14:paraId="799738A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2920" w:type="dxa"/>
          </w:tcPr>
          <w:p w14:paraId="6D04487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718" w:type="dxa"/>
          </w:tcPr>
          <w:p w14:paraId="585BEF0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2920" w:type="dxa"/>
          </w:tcPr>
          <w:p w14:paraId="001E6C5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718" w:type="dxa"/>
          </w:tcPr>
          <w:p w14:paraId="2A300EC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2920" w:type="dxa"/>
          </w:tcPr>
          <w:p w14:paraId="499E9C8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718" w:type="dxa"/>
          </w:tcPr>
          <w:p w14:paraId="64E877A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Français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2920" w:type="dxa"/>
          </w:tcPr>
          <w:p w14:paraId="1CAAB3A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718" w:type="dxa"/>
          </w:tcPr>
          <w:p w14:paraId="5BBAAE8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Neuroscience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2920" w:type="dxa"/>
          </w:tcPr>
          <w:p w14:paraId="3B72EF0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718" w:type="dxa"/>
          </w:tcPr>
          <w:p w14:paraId="4349370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40h CM et 20h TD</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2920" w:type="dxa"/>
          </w:tcPr>
          <w:p w14:paraId="782D1F7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718" w:type="dxa"/>
          </w:tcPr>
          <w:p w14:paraId="761CCEB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2920" w:type="dxa"/>
          </w:tcPr>
          <w:p w14:paraId="14E38A9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718" w:type="dxa"/>
          </w:tcPr>
          <w:p w14:paraId="7847700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2920" w:type="dxa"/>
          </w:tcPr>
          <w:p w14:paraId="1F8B137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obligatoire</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718" w:type="dxa"/>
          </w:tcPr>
          <w:p w14:paraId="3576FD3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Bases de neurophysiologie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2920" w:type="dxa"/>
          </w:tcPr>
          <w:p w14:paraId="56E93E7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recommandé</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718" w:type="dxa"/>
          </w:tcPr>
          <w:p w14:paraId="4D0DA12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2920" w:type="dxa"/>
          </w:tcPr>
          <w:p w14:paraId="72A3FDD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718" w:type="dxa"/>
          </w:tcPr>
          <w:p w14:paraId="184DE4B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2920" w:type="dxa"/>
          </w:tcPr>
          <w:p w14:paraId="0236251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718" w:type="dxa"/>
          </w:tcPr>
          <w:p w14:paraId="7239FA0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t xml:space="preserve">Contrôle terminal (constitué d’un oral –exposé- et d’un examen écrit)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r>
    </w:tbl>
    <w:p w14:paraId="66596503" w14:textId="0E8513F6">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25B7F1D" w14:textId="2B283E99">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1F63CDD" w14:textId="1E89B67D">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42AA8D6" w14:textId="139BE1E7">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E360B52" w14:textId="5A5D2FAA">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3FA75A8" w14:textId="7A809342">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19E3407" w14:textId="1D3EBD7F">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0AF87985" w14:textId="795AA89F">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603DCA4" w14:textId="7D34433C">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90455D2" w14:textId="165D5167">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508966A" w14:textId="057F2A9E">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7A929529" w14:textId="647134B6">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6001CD5" w14:textId="2D5EF4BE">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EDFDCF0" w14:textId="5D2BBAB4">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71A66B39" w14:textId="186C4FC3">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0E3CAE9B" w14:textId="49031DB7">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797D22B" w14:textId="3666898C">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6B7961B" w14:textId="1C063FE9">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6CE86AA" w14:textId="2C110A5D">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4C76D20" w14:textId="11B22837">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7ABD734F" w14:textId="50FD99C8">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C015FB4" w14:textId="4BC15242">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27D8DF5" w14:textId="35BBE3FE">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04266803" w14:textId="5070DB4F">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49A4396" w14:textId="7D1F9BD1">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0A9A852" w14:textId="47AB3452">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0E030229" w14:textId="2476A69A">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76E23543" w14:textId="5F224AF1">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1A1E647" w14:textId="7B0C0CC1">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8523596" w14:textId="24DE7D82">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068198AE" w14:textId="34CB0462">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B73EDC7" w14:textId="5975E4C0">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AD58487" w14:textId="0C49DC4E">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089544BA" w14:textId="617A435F">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A778F5F" w14:textId="47C3ECA7">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25AA4E6" w14:textId="2A74EA6A">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251BCB2" w14:textId="74C0F0D9">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8E49C29" w14:textId="654796F3">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0676E21D" w14:textId="19CD335A">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C190619" w14:textId="1F0505CB">
      <w:pPr>
        <w:pBdr/>
        <w:tabs>
          <w:tab w:val="left" w:leader="none" w:pos="1287"/>
        </w:tabs>
        <w:spacing/>
        <w:ind w:firstLine="0"/>
        <w:jc w:val="center"/>
        <w:rPr>
          <w:rFonts w:asciiTheme="majorHAnsi" w:hAnsiTheme="majorHAnsi" w:cstheme="majorHAnsi"/>
          <w:b/>
          <w:bCs/>
          <w:color w:val="000000" w:themeColor="text1"/>
        </w:rPr>
      </w:pPr>
      <w:r>
        <w:rPr>
          <w:rFonts w:asciiTheme="majorHAnsi" w:hAnsiTheme="majorHAnsi" w:cstheme="majorHAnsi"/>
          <w:b/>
          <w:bCs/>
          <w:color w:val="000000" w:themeColor="text1"/>
        </w:rPr>
        <w:t xml:space="preserve">METHODOLOGIE DE LA RECHERCHE </w:t>
      </w:r>
      <w:r>
        <w:rPr>
          <w:rFonts w:asciiTheme="majorHAnsi" w:hAnsiTheme="majorHAnsi" w:cstheme="majorHAnsi"/>
          <w:b/>
          <w:bCs/>
          <w:color w:val="ff0000"/>
        </w:rPr>
        <w:t xml:space="preserve">(1 choix) :</w:t>
      </w:r>
      <w:r>
        <w:rPr>
          <w:rFonts w:asciiTheme="majorHAnsi" w:hAnsiTheme="majorHAnsi" w:cstheme="majorHAnsi"/>
          <w:b/>
          <w:bCs/>
          <w:color w:val="000000" w:themeColor="text1"/>
        </w:rPr>
      </w:r>
      <w:r>
        <w:rPr>
          <w:rFonts w:asciiTheme="majorHAnsi" w:hAnsiTheme="majorHAnsi" w:cstheme="majorHAnsi"/>
          <w:b/>
          <w:bCs/>
          <w:color w:val="000000" w:themeColor="text1"/>
        </w:rPr>
      </w:r>
    </w:p>
    <w:p w14:paraId="3FDAB15D" w14:textId="43D3156D">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6C138A1" w14:textId="5DA63B66">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tbl>
      <w:tblPr>
        <w:tblStyle w:val="1171"/>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46D77160" w14:textId="77777777">
            <w:pPr>
              <w:pBdr/>
              <w:spacing/>
              <w:ind/>
              <w:rPr>
                <w:rFonts w:asciiTheme="majorHAnsi" w:hAnsiTheme="majorHAnsi" w:cstheme="majorHAnsi"/>
                <w:b/>
                <w:color w:val="000000" w:themeColor="text1"/>
                <w:sz w:val="20"/>
                <w:szCs w:val="20"/>
              </w:rPr>
            </w:pPr>
            <w:r/>
            <w:bookmarkStart w:id="2" w:name="_Hlk207090425"/>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vAlign w:val="center"/>
          </w:tcPr>
          <w:p w14:paraId="52255C1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7873DFC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vAlign w:val="center"/>
          </w:tcPr>
          <w:p w14:paraId="105C660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highlight w:val="yellow"/>
              </w:rPr>
            </w:pPr>
            <w:r>
              <w:rPr>
                <w:rFonts w:ascii="Calibri Light" w:hAnsi="Calibri Light" w:cs="Calibri Light"/>
                <w:b/>
                <w:bCs/>
                <w:color w:val="000000"/>
                <w:sz w:val="20"/>
                <w:szCs w:val="20"/>
              </w:rPr>
              <w:t xml:space="preserve">HPS6U41</w:t>
            </w:r>
            <w:r>
              <w:rPr>
                <w:rFonts w:eastAsia="Liberation Sans" w:asciiTheme="majorHAnsi" w:hAnsiTheme="majorHAnsi" w:cstheme="majorHAnsi"/>
                <w:b/>
                <w:color w:val="000000" w:themeColor="text1"/>
                <w:sz w:val="20"/>
                <w:szCs w:val="20"/>
                <w:highlight w:val="yellow"/>
              </w:rPr>
            </w:r>
            <w:r>
              <w:rPr>
                <w:rFonts w:eastAsia="Liberation Sans" w:asciiTheme="majorHAnsi" w:hAnsiTheme="majorHAnsi" w:cstheme="majorHAnsi"/>
                <w:b/>
                <w:color w:val="000000" w:themeColor="text1"/>
                <w:sz w:val="20"/>
                <w:szCs w:val="20"/>
                <w:highlight w:val="yellow"/>
              </w:rPr>
            </w:r>
          </w:p>
        </w:tc>
      </w:tr>
      <w:tr>
        <w:trPr/>
        <w:tc>
          <w:tcPr>
            <w:shd w:val="clear" w:color="auto" w:fill="auto"/>
            <w:tcBorders>
              <w:left w:val="single" w:color="000000" w:sz="4" w:space="0"/>
              <w:bottom w:val="single" w:color="000000" w:sz="4" w:space="0"/>
            </w:tcBorders>
            <w:tcW w:w="3402" w:type="dxa"/>
          </w:tcPr>
          <w:p w14:paraId="03D3532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vAlign w:val="center"/>
          </w:tcPr>
          <w:p w14:paraId="5D29DB4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ascii="Calibri Light" w:hAnsi="Calibri Light" w:cs="Calibri Light"/>
                <w:color w:val="000000"/>
                <w:sz w:val="20"/>
                <w:szCs w:val="20"/>
              </w:rPr>
              <w:t xml:space="preserve">TER Clinique B</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FA4D22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vAlign w:val="center"/>
          </w:tcPr>
          <w:p w14:paraId="311F6EB9" w14:textId="77777777">
            <w:pPr>
              <w:pStyle w:val="1201"/>
              <w:pBdr/>
              <w:spacing w:after="0" w:afterAutospacing="0" w:before="0" w:beforeAutospacing="0"/>
              <w:ind/>
              <w:rPr/>
            </w:pPr>
            <w:r>
              <w:rPr>
                <w:rFonts w:ascii="Calibri Light" w:hAnsi="Calibri Light" w:cs="Calibri Light"/>
                <w:color w:val="000000"/>
                <w:sz w:val="20"/>
                <w:szCs w:val="20"/>
              </w:rPr>
              <w:t xml:space="preserve">Mémoire ; Méthodologie ; Psychologie Clinique ; Recherche ; Transfert ; </w:t>
            </w:r>
            <w:r/>
          </w:p>
        </w:tc>
      </w:tr>
      <w:tr>
        <w:trPr/>
        <w:tc>
          <w:tcPr>
            <w:shd w:val="clear" w:color="auto" w:fill="auto"/>
            <w:tcBorders>
              <w:top w:val="single" w:color="000000" w:sz="4" w:space="0"/>
              <w:left w:val="single" w:color="000000" w:sz="4" w:space="0"/>
              <w:bottom w:val="single" w:color="000000" w:sz="4" w:space="0"/>
            </w:tcBorders>
            <w:tcW w:w="3402" w:type="dxa"/>
          </w:tcPr>
          <w:p w14:paraId="55CF2B0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vAlign w:val="center"/>
          </w:tcPr>
          <w:p w14:paraId="07B35E14" w14:textId="77777777">
            <w:pPr>
              <w:pStyle w:val="1201"/>
              <w:pBdr/>
              <w:spacing w:after="0" w:afterAutospacing="0" w:before="0" w:beforeAutospacing="0"/>
              <w:ind/>
              <w:rPr>
                <w:rFonts w:ascii="Calibri Light" w:hAnsi="Calibri Light" w:cs="Calibri Light"/>
                <w:color w:val="ff0000"/>
                <w:sz w:val="20"/>
                <w:szCs w:val="20"/>
              </w:rPr>
            </w:pPr>
            <w:r>
              <w:rPr>
                <w:rFonts w:ascii="Calibri Light" w:hAnsi="Calibri Light" w:cs="Calibri Light"/>
                <w:color w:val="ff0000"/>
                <w:sz w:val="20"/>
                <w:szCs w:val="20"/>
              </w:rPr>
              <w:t xml:space="preserve">L’étudiant doit choisir une approche (parmi les trois approches présentées au semestre 5) qu’il doit situer dans le champ scientifique actuel et problématiser de façon </w:t>
            </w:r>
            <w:r>
              <w:rPr>
                <w:rFonts w:ascii="Calibri Light" w:hAnsi="Calibri Light" w:cs="Calibri Light"/>
                <w:color w:val="ff0000"/>
                <w:sz w:val="20"/>
                <w:szCs w:val="20"/>
              </w:rPr>
              <w:t xml:space="preserve">a</w:t>
            </w:r>
            <w:r>
              <w:rPr>
                <w:rFonts w:ascii="Calibri Light" w:hAnsi="Calibri Light" w:cs="Calibri Light"/>
                <w:color w:val="ff0000"/>
                <w:sz w:val="20"/>
                <w:szCs w:val="20"/>
              </w:rPr>
              <w:t xml:space="preserve">̀ pouvoir en approfondir un aspect.</w:t>
            </w:r>
            <w:r>
              <w:rPr>
                <w:rFonts w:ascii="Calibri Light" w:hAnsi="Calibri Light" w:cs="Calibri Light"/>
                <w:color w:val="ff0000"/>
                <w:sz w:val="20"/>
                <w:szCs w:val="20"/>
              </w:rPr>
            </w:r>
            <w:r>
              <w:rPr>
                <w:rFonts w:ascii="Calibri Light" w:hAnsi="Calibri Light" w:cs="Calibri Light"/>
                <w:color w:val="ff0000"/>
                <w:sz w:val="20"/>
                <w:szCs w:val="20"/>
              </w:rPr>
            </w:r>
          </w:p>
          <w:p w14:paraId="072CDC44" w14:textId="77777777">
            <w:pPr>
              <w:pStyle w:val="1201"/>
              <w:pBdr/>
              <w:spacing w:after="0" w:afterAutospacing="0" w:before="0" w:beforeAutospacing="0"/>
              <w:ind/>
              <w:rPr>
                <w:rFonts w:ascii="Calibri Light" w:hAnsi="Calibri Light" w:cs="Calibri Light"/>
                <w:color w:val="ff0000"/>
                <w:sz w:val="20"/>
                <w:szCs w:val="20"/>
              </w:rPr>
            </w:pPr>
            <w:r>
              <w:rPr>
                <w:rFonts w:ascii="Calibri Light" w:hAnsi="Calibri Light" w:cs="Calibri Light"/>
                <w:color w:val="ff0000"/>
                <w:sz w:val="20"/>
                <w:szCs w:val="20"/>
              </w:rPr>
            </w:r>
            <w:r>
              <w:rPr>
                <w:rFonts w:ascii="Calibri Light" w:hAnsi="Calibri Light" w:cs="Calibri Light"/>
                <w:color w:val="ff0000"/>
                <w:sz w:val="20"/>
                <w:szCs w:val="20"/>
              </w:rPr>
            </w:r>
            <w:r>
              <w:rPr>
                <w:rFonts w:ascii="Calibri Light" w:hAnsi="Calibri Light" w:cs="Calibri Light"/>
                <w:color w:val="ff0000"/>
                <w:sz w:val="20"/>
                <w:szCs w:val="20"/>
              </w:rPr>
            </w:r>
          </w:p>
          <w:p w14:paraId="5F0ADC9E" w14:textId="77777777">
            <w:pPr>
              <w:pStyle w:val="1201"/>
              <w:pBdr/>
              <w:spacing w:after="0" w:afterAutospacing="0" w:before="0" w:beforeAutospacing="0"/>
              <w:ind/>
              <w:rPr>
                <w:rFonts w:ascii="Calibri Light" w:hAnsi="Calibri Light" w:cs="Calibri Light"/>
                <w:color w:val="000000"/>
                <w:sz w:val="20"/>
                <w:szCs w:val="20"/>
              </w:rPr>
            </w:pPr>
            <w:r>
              <w:rPr>
                <w:rFonts w:ascii="Calibri Light" w:hAnsi="Calibri Light" w:cs="Calibri Light"/>
                <w:color w:val="000000"/>
                <w:sz w:val="20"/>
                <w:szCs w:val="20"/>
              </w:rPr>
              <w:t xml:space="preserve">Élaboration et construction d’un Travail d’Etudes et de Recherche qui doit permettre </w:t>
            </w:r>
            <w:r>
              <w:rPr>
                <w:rFonts w:ascii="Calibri Light" w:hAnsi="Calibri Light" w:cs="Calibri Light"/>
                <w:color w:val="000000"/>
                <w:sz w:val="20"/>
                <w:szCs w:val="20"/>
              </w:rPr>
              <w:t xml:space="preserve">a</w:t>
            </w:r>
            <w:r>
              <w:rPr>
                <w:rFonts w:ascii="Calibri Light" w:hAnsi="Calibri Light" w:cs="Calibri Light"/>
                <w:color w:val="000000"/>
                <w:sz w:val="20"/>
                <w:szCs w:val="20"/>
              </w:rPr>
              <w:t xml:space="preserve">̀ l’étudiant, à la fois de mettre en œuvre les connaissances et les méthodes acquises au cours de son cursus, et de se confronter à la communication écrite scientifique.</w:t>
            </w:r>
            <w:r>
              <w:rPr>
                <w:rFonts w:ascii="Calibri Light" w:hAnsi="Calibri Light" w:cs="Calibri Light"/>
                <w:color w:val="000000"/>
                <w:sz w:val="20"/>
                <w:szCs w:val="20"/>
              </w:rPr>
            </w:r>
            <w:r>
              <w:rPr>
                <w:rFonts w:ascii="Calibri Light" w:hAnsi="Calibri Light" w:cs="Calibri Light"/>
                <w:color w:val="000000"/>
                <w:sz w:val="20"/>
                <w:szCs w:val="20"/>
              </w:rPr>
            </w:r>
          </w:p>
          <w:p w14:paraId="3EBE70EA" w14:textId="77777777">
            <w:pPr>
              <w:pStyle w:val="1201"/>
              <w:pBdr/>
              <w:spacing w:after="0" w:afterAutospacing="0" w:before="0" w:beforeAutospacing="0"/>
              <w:ind/>
              <w:rPr>
                <w:rFonts w:ascii="Calibri Light" w:hAnsi="Calibri Light" w:cs="Calibri Light"/>
                <w:color w:val="000000"/>
                <w:sz w:val="20"/>
                <w:szCs w:val="20"/>
              </w:rPr>
            </w:pPr>
            <w:r>
              <w:rPr>
                <w:rFonts w:ascii="Calibri Light" w:hAnsi="Calibri Light" w:cs="Calibri Light"/>
                <w:color w:val="000000"/>
                <w:sz w:val="20"/>
                <w:szCs w:val="20"/>
              </w:rPr>
            </w:r>
            <w:r>
              <w:rPr>
                <w:rFonts w:ascii="Calibri Light" w:hAnsi="Calibri Light" w:cs="Calibri Light"/>
                <w:color w:val="000000"/>
                <w:sz w:val="20"/>
                <w:szCs w:val="20"/>
              </w:rPr>
            </w:r>
            <w:r>
              <w:rPr>
                <w:rFonts w:ascii="Calibri Light" w:hAnsi="Calibri Light" w:cs="Calibri Light"/>
                <w:color w:val="000000"/>
                <w:sz w:val="20"/>
                <w:szCs w:val="20"/>
              </w:rPr>
            </w:r>
          </w:p>
          <w:p w14:paraId="2AFEA0D8" w14:textId="77777777">
            <w:pPr>
              <w:pStyle w:val="1201"/>
              <w:pBdr/>
              <w:spacing w:after="0" w:afterAutospacing="0" w:before="0" w:beforeAutospacing="0"/>
              <w:ind/>
              <w:rPr>
                <w:rFonts w:ascii="Calibri Light" w:hAnsi="Calibri Light" w:cs="Calibri Light"/>
                <w:color w:val="000000"/>
                <w:sz w:val="20"/>
                <w:szCs w:val="20"/>
              </w:rPr>
            </w:pPr>
            <w:r>
              <w:rPr>
                <w:rFonts w:ascii="Calibri Light" w:hAnsi="Calibri Light" w:cs="Calibri Light"/>
                <w:color w:val="000000"/>
                <w:sz w:val="20"/>
                <w:szCs w:val="20"/>
              </w:rPr>
              <w:t xml:space="preserve">Modèles théoriques et articulation </w:t>
            </w:r>
            <w:r>
              <w:rPr>
                <w:rFonts w:ascii="Calibri Light" w:hAnsi="Calibri Light" w:cs="Calibri Light"/>
                <w:color w:val="000000"/>
                <w:sz w:val="20"/>
                <w:szCs w:val="20"/>
              </w:rPr>
            </w:r>
            <w:r>
              <w:rPr>
                <w:rFonts w:ascii="Calibri Light" w:hAnsi="Calibri Light" w:cs="Calibri Light"/>
                <w:color w:val="000000"/>
                <w:sz w:val="20"/>
                <w:szCs w:val="20"/>
              </w:rPr>
            </w:r>
          </w:p>
          <w:p w14:paraId="056D3E29" w14:textId="77777777">
            <w:pPr>
              <w:pStyle w:val="1201"/>
              <w:pBdr/>
              <w:spacing w:after="0" w:afterAutospacing="0" w:before="0" w:beforeAutospacing="0"/>
              <w:ind/>
              <w:rPr>
                <w:rFonts w:ascii="Calibri Light" w:hAnsi="Calibri Light" w:cs="Calibri Light"/>
                <w:color w:val="000000"/>
                <w:sz w:val="20"/>
                <w:szCs w:val="20"/>
              </w:rPr>
            </w:pPr>
            <w:r>
              <w:rPr>
                <w:rFonts w:ascii="Calibri Light" w:hAnsi="Calibri Light" w:cs="Calibri Light"/>
                <w:color w:val="000000"/>
                <w:sz w:val="20"/>
                <w:szCs w:val="20"/>
              </w:rPr>
              <w:t xml:space="preserve">Le travail final attendu est un mémoire qui ne saurait se réduire </w:t>
            </w:r>
            <w:r>
              <w:rPr>
                <w:rFonts w:ascii="Calibri Light" w:hAnsi="Calibri Light" w:cs="Calibri Light"/>
                <w:color w:val="000000"/>
                <w:sz w:val="20"/>
                <w:szCs w:val="20"/>
              </w:rPr>
              <w:t xml:space="preserve">a</w:t>
            </w:r>
            <w:r>
              <w:rPr>
                <w:rFonts w:ascii="Calibri Light" w:hAnsi="Calibri Light" w:cs="Calibri Light"/>
                <w:color w:val="000000"/>
                <w:sz w:val="20"/>
                <w:szCs w:val="20"/>
              </w:rPr>
              <w:t xml:space="preserve">̀ une fiche de lecture ou un exposé. </w:t>
            </w:r>
            <w:r>
              <w:rPr>
                <w:rFonts w:ascii="Calibri Light" w:hAnsi="Calibri Light" w:cs="Calibri Light"/>
                <w:color w:val="000000"/>
                <w:sz w:val="20"/>
                <w:szCs w:val="20"/>
              </w:rPr>
            </w:r>
            <w:r>
              <w:rPr>
                <w:rFonts w:ascii="Calibri Light" w:hAnsi="Calibri Light" w:cs="Calibri Light"/>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AD3DA0F"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vAlign w:val="center"/>
          </w:tcPr>
          <w:p w14:paraId="5C61566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t xml:space="preserve">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11BC63A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vAlign w:val="center"/>
          </w:tcPr>
          <w:p w14:paraId="03484BF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ascii="Calibri Light" w:hAnsi="Calibri Light" w:cs="Calibri Light"/>
                <w:color w:val="000000"/>
                <w:sz w:val="20"/>
                <w:szCs w:val="20"/>
              </w:rPr>
              <w:t xml:space="preserve">6 ECTS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EC4860A"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vAlign w:val="center"/>
          </w:tcPr>
          <w:p w14:paraId="4456F33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2E8A02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vAlign w:val="center"/>
          </w:tcPr>
          <w:p w14:paraId="4156055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ascii="Calibri Light" w:hAnsi="Calibri Light" w:cs="Calibri Light"/>
                <w:color w:val="000000"/>
                <w:sz w:val="20"/>
                <w:szCs w:val="20"/>
              </w:rPr>
              <w:t xml:space="preserve">Rédaction et écriture d’un mémoire de recherche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63BA5F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vAlign w:val="center"/>
          </w:tcPr>
          <w:p w14:paraId="695A056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911AAD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vAlign w:val="center"/>
          </w:tcPr>
          <w:p w14:paraId="35D2F7C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ascii="Calibri Light" w:hAnsi="Calibri Light" w:cs="Calibri Light"/>
                <w:color w:val="000000"/>
                <w:sz w:val="20"/>
                <w:szCs w:val="20"/>
              </w:rPr>
              <w:t xml:space="preserve">Delphine Scotto Di Vettimo</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4153CF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vAlign w:val="center"/>
          </w:tcPr>
          <w:p w14:paraId="7DD1657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ascii="Calibri Light" w:hAnsi="Calibri Light" w:cs="Calibri Light"/>
                <w:color w:val="000000"/>
                <w:sz w:val="20"/>
                <w:szCs w:val="20"/>
              </w:rPr>
              <w:t xml:space="preserve">Multiples (EC et professionnels)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39DE07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w:t>
            </w:r>
            <w:r>
              <w:rPr>
                <w:rFonts w:eastAsia="Times New Roman"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t xml:space="preserve">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vAlign w:val="center"/>
          </w:tcPr>
          <w:p w14:paraId="3AB817B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ascii="Calibri Light" w:hAnsi="Calibri Light" w:cs="Calibri Light"/>
                <w:color w:val="000000"/>
                <w:sz w:val="20"/>
                <w:szCs w:val="20"/>
              </w:rPr>
              <w:t xml:space="preserve">Mémoire de Recherche pour les TD</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7BC42E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vAlign w:val="center"/>
          </w:tcPr>
          <w:p w14:paraId="4C60699F" w14:textId="77777777">
            <w:pPr>
              <w:pStyle w:val="1201"/>
              <w:pBdr>
                <w:top w:val="none" w:color="000000" w:sz="4" w:space="0"/>
                <w:left w:val="none" w:color="000000" w:sz="4" w:space="0"/>
                <w:bottom w:val="none" w:color="000000" w:sz="4" w:space="0"/>
                <w:right w:val="none" w:color="000000" w:sz="4" w:space="0"/>
                <w:between w:val="none" w:color="000000" w:sz="4" w:space="0"/>
              </w:pBdr>
              <w:spacing w:after="0" w:afterAutospacing="0" w:before="0" w:beforeAutospacing="0"/>
              <w:ind/>
              <w:rPr>
                <w:rFonts w:eastAsia="Liberation Sans" w:asciiTheme="majorHAnsi" w:hAnsiTheme="majorHAnsi" w:cstheme="majorHAnsi"/>
                <w:color w:val="000000" w:themeColor="text1"/>
                <w:sz w:val="20"/>
                <w:szCs w:val="20"/>
              </w:rPr>
            </w:pPr>
            <w:r>
              <w:rPr>
                <w:rFonts w:ascii="Calibri Light" w:hAnsi="Calibri Light" w:cs="Calibri Light"/>
                <w:color w:val="000000"/>
                <w:sz w:val="20"/>
                <w:szCs w:val="20"/>
              </w:rPr>
              <w:t xml:space="preserve">D’un point de vue pédagogique, le T.ER a pour objectif d’initier l’étudiant à toutes les étapes de la recherche en psychologie : élabo</w:t>
            </w:r>
            <w:r>
              <w:rPr>
                <w:rFonts w:ascii="Calibri Light" w:hAnsi="Calibri Light" w:cs="Calibri Light"/>
                <w:color w:val="000000"/>
                <w:sz w:val="20"/>
                <w:szCs w:val="20"/>
              </w:rPr>
              <w:t xml:space="preserve">ration d’une problématique de recherche, travail de recherche documentaire en bibliothèque et à l’aide de supports documentaires informatisés, formulation d’hypothèses, recueil, analyse et interprétation des données, discussion, critiques et perspectives.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635F668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vAlign w:val="center"/>
          </w:tcPr>
          <w:p w14:paraId="5DEC632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6874C1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vAlign w:val="center"/>
          </w:tcPr>
          <w:p w14:paraId="4F7FC32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ascii="Calibri Light" w:hAnsi="Calibri Light" w:cs="Calibri Light"/>
                <w:color w:val="000000"/>
                <w:sz w:val="20"/>
                <w:szCs w:val="20"/>
              </w:rPr>
              <w:t xml:space="preserve">Français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8E86AA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vAlign w:val="center"/>
          </w:tcPr>
          <w:p w14:paraId="6750452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ascii="Calibri Light" w:hAnsi="Calibri Light" w:cs="Calibri Light"/>
                <w:color w:val="000000"/>
                <w:sz w:val="20"/>
                <w:szCs w:val="20"/>
              </w:rPr>
              <w:t xml:space="preserve">Psychologie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9D7B9C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vAlign w:val="center"/>
          </w:tcPr>
          <w:p w14:paraId="63FFE8A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ascii="Calibri Light" w:hAnsi="Calibri Light" w:cs="Calibri Light"/>
                <w:color w:val="000000"/>
                <w:sz w:val="20"/>
                <w:szCs w:val="20"/>
              </w:rPr>
              <w:t xml:space="preserve">12 heures TD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4E42C0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vAlign w:val="center"/>
          </w:tcPr>
          <w:p w14:paraId="607A0A8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t xml:space="preserve">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6355B3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vAlign w:val="center"/>
          </w:tcPr>
          <w:p w14:paraId="07F9243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72A979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obligatoire</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vAlign w:val="center"/>
          </w:tcPr>
          <w:p w14:paraId="080616C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ascii="Calibri Light" w:hAnsi="Calibri Light" w:cs="Calibri Light"/>
                <w:color w:val="000000"/>
                <w:sz w:val="20"/>
                <w:szCs w:val="20"/>
              </w:rPr>
              <w:t xml:space="preserve">Les concepts psychanalytiques, méthodologie de la recherche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2D4CB7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recommandé</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vAlign w:val="center"/>
          </w:tcPr>
          <w:p w14:paraId="188ECDD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t xml:space="preserve">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1DEE34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vAlign w:val="center"/>
          </w:tcPr>
          <w:p w14:paraId="1EC1D51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2CB161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vAlign w:val="center"/>
          </w:tcPr>
          <w:p w14:paraId="441BAD6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iCs/>
                <w:color w:val="000000" w:themeColor="text1"/>
                <w:sz w:val="20"/>
                <w:szCs w:val="20"/>
              </w:rPr>
            </w:pPr>
            <w:r>
              <w:rPr>
                <w:rFonts w:ascii="Calibri Light" w:hAnsi="Calibri Light" w:cs="Calibri Light"/>
                <w:i/>
                <w:iCs/>
                <w:color w:val="000000"/>
                <w:sz w:val="20"/>
                <w:szCs w:val="20"/>
              </w:rPr>
              <w:t xml:space="preserve">Mémoire de Recherche </w:t>
            </w:r>
            <w:bookmarkEnd w:id="2"/>
            <w:r>
              <w:rPr>
                <w:rFonts w:eastAsia="Liberation Sans" w:asciiTheme="majorHAnsi" w:hAnsiTheme="majorHAnsi" w:cstheme="majorHAnsi"/>
                <w:i/>
                <w:iCs/>
                <w:color w:val="000000" w:themeColor="text1"/>
                <w:sz w:val="20"/>
                <w:szCs w:val="20"/>
              </w:rPr>
            </w:r>
            <w:r>
              <w:rPr>
                <w:rFonts w:eastAsia="Liberation Sans" w:asciiTheme="majorHAnsi" w:hAnsiTheme="majorHAnsi" w:cstheme="majorHAnsi"/>
                <w:i/>
                <w:iCs/>
                <w:color w:val="000000" w:themeColor="text1"/>
                <w:sz w:val="20"/>
                <w:szCs w:val="20"/>
              </w:rPr>
            </w:r>
          </w:p>
        </w:tc>
      </w:tr>
    </w:tbl>
    <w:p w14:paraId="58760E5D" w14:textId="77777777">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CB0C55F" w14:textId="1490A448">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tbl>
      <w:tblPr>
        <w:tblStyle w:val="1171"/>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7D470EB4"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A0BFF6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4FD18AB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34C307A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HPS6U42</w:t>
            </w:r>
            <w:r>
              <w:rPr>
                <w:rFonts w:eastAsia="Liberation Sans" w:asciiTheme="majorHAnsi" w:hAnsiTheme="majorHAnsi" w:cstheme="majorHAnsi"/>
                <w:b/>
                <w:color w:val="000000" w:themeColor="text1"/>
                <w:sz w:val="20"/>
                <w:szCs w:val="20"/>
                <w:highlight w:val="yellow"/>
              </w:rPr>
            </w:r>
            <w:r>
              <w:rPr>
                <w:rFonts w:eastAsia="Liberation Sans" w:asciiTheme="majorHAnsi" w:hAnsiTheme="majorHAnsi" w:cstheme="majorHAnsi"/>
                <w:b/>
                <w:color w:val="000000" w:themeColor="text1"/>
                <w:sz w:val="20"/>
                <w:szCs w:val="20"/>
                <w:highlight w:val="yellow"/>
              </w:rPr>
            </w:r>
          </w:p>
        </w:tc>
      </w:tr>
      <w:tr>
        <w:trPr/>
        <w:tc>
          <w:tcPr>
            <w:shd w:val="clear" w:color="auto" w:fill="auto"/>
            <w:tcBorders>
              <w:left w:val="single" w:color="000000" w:sz="4" w:space="0"/>
              <w:bottom w:val="single" w:color="000000" w:sz="4" w:space="0"/>
            </w:tcBorders>
            <w:tcW w:w="3402" w:type="dxa"/>
          </w:tcPr>
          <w:p w14:paraId="47A2684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C882FA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TER Cognitive B</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1D4E9B9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BB4910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B5898F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0F0572D" w14:textId="77777777">
            <w:pPr>
              <w:pBdr/>
              <w:spacing/>
              <w:ind w:firstLine="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115FA13"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3327780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1DBBAA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559400D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6 ECTS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1A8F2CF"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977C48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C42F64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FEF2CA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FB8BCE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5D32C11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5419BA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0FC228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Brice </w:t>
            </w:r>
            <w:r>
              <w:rPr>
                <w:rFonts w:eastAsia="Liberation Sans" w:asciiTheme="majorHAnsi" w:hAnsiTheme="majorHAnsi" w:cstheme="majorHAnsi"/>
                <w:color w:val="000000" w:themeColor="text1"/>
                <w:sz w:val="20"/>
                <w:szCs w:val="20"/>
              </w:rPr>
              <w:t xml:space="preserve">Isableu</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53EE07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836013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8F2265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w:t>
            </w:r>
            <w:r>
              <w:rPr>
                <w:rFonts w:eastAsia="Times New Roman"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t xml:space="preserve">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CB4814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5C1B172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6551BC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6FF61E4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FF5497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FBFBF7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A216F6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Français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4486AC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935029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3348D1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215AC7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8h CM / 12h TD / 16h PA</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E7EC9D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1120FD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465EF4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599069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FBAE4F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obligatoire</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FEE4D2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EB55CF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recommandé</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EBC3D8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DA0821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1AC4AC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29F353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0C9FEA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t xml:space="preserve">Contrôle terminal</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r>
    </w:tbl>
    <w:p w14:paraId="0BFB1EAC" w14:textId="3BD46F05">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FB3F80B" w14:textId="163FA70C">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2F8442A" w14:textId="295BB9B4">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EEFFBF1" w14:textId="17A12651">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C47BC22" w14:textId="07091B81">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0370CB5B" w14:textId="19360AF9">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94FACAD" w14:textId="10A047DC">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FF182AF" w14:textId="1F2F6385">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7809A72D" w14:textId="255F5C97">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66FCE6B" w14:textId="1A4EB63D">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8B2140E" w14:textId="42B84B61">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330B077" w14:textId="6DEE921B">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7467FD95" w14:textId="54782CFF">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16313D2" w14:textId="70FC2951">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4C9F3F3" w14:textId="22A07DEE">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020BE656" w14:textId="1D9020AD">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D423F81" w14:textId="318AFA40">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BAF408B" w14:textId="4D4BDF6D">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72C724A6" w14:textId="5CD5DC27">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9319406" w14:textId="1E087051">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4C98780" w14:textId="02601C8F">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tbl>
      <w:tblPr>
        <w:tblStyle w:val="1171"/>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14892B63"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D52304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6F62293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23D312F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HPS6U43</w:t>
            </w:r>
            <w:r>
              <w:rPr>
                <w:rFonts w:eastAsia="Liberation Sans" w:asciiTheme="majorHAnsi" w:hAnsiTheme="majorHAnsi" w:cstheme="majorHAnsi"/>
                <w:b/>
                <w:color w:val="000000" w:themeColor="text1"/>
                <w:sz w:val="20"/>
                <w:szCs w:val="20"/>
                <w:highlight w:val="yellow"/>
              </w:rPr>
            </w:r>
            <w:r>
              <w:rPr>
                <w:rFonts w:eastAsia="Liberation Sans" w:asciiTheme="majorHAnsi" w:hAnsiTheme="majorHAnsi" w:cstheme="majorHAnsi"/>
                <w:b/>
                <w:color w:val="000000" w:themeColor="text1"/>
                <w:sz w:val="20"/>
                <w:szCs w:val="20"/>
                <w:highlight w:val="yellow"/>
              </w:rPr>
            </w:r>
          </w:p>
        </w:tc>
      </w:tr>
      <w:tr>
        <w:trPr/>
        <w:tc>
          <w:tcPr>
            <w:shd w:val="clear" w:color="auto" w:fill="auto"/>
            <w:tcBorders>
              <w:left w:val="single" w:color="000000" w:sz="4" w:space="0"/>
              <w:bottom w:val="single" w:color="000000" w:sz="4" w:space="0"/>
            </w:tcBorders>
            <w:tcW w:w="3402" w:type="dxa"/>
          </w:tcPr>
          <w:p w14:paraId="4B2FE2B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71A46C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TER Développement/Différentielle B</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221C0EF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975DCE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90E452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437EEB5D" w14:textId="77777777">
            <w:pPr>
              <w:pBdr/>
              <w:spacing/>
              <w:ind w:firstLine="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Les étudiants choisissent de suivre des enseignements relatifs à 3 techniques de recherche parmi celles proposées par les enseignants-chercheurs du département (ex., analyse vidéo, questionnaires sur </w:t>
            </w:r>
            <w:r>
              <w:rPr>
                <w:rFonts w:asciiTheme="majorHAnsi" w:hAnsiTheme="majorHAnsi" w:cstheme="majorHAnsi"/>
                <w:color w:val="000000" w:themeColor="text1"/>
                <w:sz w:val="20"/>
                <w:szCs w:val="20"/>
              </w:rPr>
              <w:t xml:space="preserve">LimeSurvey</w:t>
            </w:r>
            <w:r>
              <w:rPr>
                <w:rFonts w:asciiTheme="majorHAnsi" w:hAnsiTheme="majorHAnsi" w:cstheme="majorHAnsi"/>
                <w:color w:val="000000" w:themeColor="text1"/>
                <w:sz w:val="20"/>
                <w:szCs w:val="20"/>
              </w:rPr>
              <w:t xml:space="preserve">, approche longitudinale) et poursuivent la réalisation de leur TER au sein du thème de recherche choisi au semestre 5. </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7500B21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36BDF32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6 ECTS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3BDA12E2"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813310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247C4C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655FF7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Savoir/Avoir/Être :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1C36FA10" w14:textId="77777777">
            <w:pPr>
              <w:pStyle w:val="1193"/>
              <w:numPr>
                <w:ilvl w:val="0"/>
                <w:numId w:val="42"/>
              </w:num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Transposer une question de recherche à une méthodologie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0423EC44" w14:textId="77777777">
            <w:pPr>
              <w:pStyle w:val="1193"/>
              <w:numPr>
                <w:ilvl w:val="0"/>
                <w:numId w:val="42"/>
              </w:num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Des connaissances relatives à différentes techniques de recherche propre aux champs des psychologies développementale et différentielle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p w14:paraId="712BA5DF" w14:textId="77777777">
            <w:pPr>
              <w:pStyle w:val="1193"/>
              <w:numPr>
                <w:ilvl w:val="0"/>
                <w:numId w:val="42"/>
              </w:numPr>
              <w:pBdr>
                <w:top w:val="none" w:color="000000" w:sz="4" w:space="0"/>
                <w:left w:val="none" w:color="000000" w:sz="4" w:space="0"/>
                <w:bottom w:val="none" w:color="000000" w:sz="4" w:space="0"/>
                <w:right w:val="none" w:color="000000" w:sz="4" w:space="0"/>
                <w:between w:val="none" w:color="000000" w:sz="4" w:space="0"/>
              </w:pBdr>
              <w:spacing/>
              <w:ind/>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Capable de mener une recherche dans son ensemble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B90B6D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9C2DBA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E9984E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28BC73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ascii="Calibri Light" w:hAnsi="Calibri Light" w:eastAsia="Calibri Light" w:cs="Calibri Light"/>
                <w:color w:val="000000"/>
                <w:sz w:val="20"/>
              </w:rPr>
              <w:t xml:space="preserve">Basilie Chevrier (</w:t>
            </w:r>
            <w:hyperlink r:id="rId18" w:tooltip="mailto:basilie.chevrier@univ-amu.fr" w:history="1">
              <w:r>
                <w:rPr>
                  <w:rStyle w:val="1196"/>
                  <w:rFonts w:ascii="Calibri Light" w:hAnsi="Calibri Light" w:eastAsia="Calibri Light" w:cs="Calibri Light"/>
                  <w:color w:val="000000"/>
                  <w:sz w:val="20"/>
                </w:rPr>
                <w:t xml:space="preserve">basilie.chevrier@univ-amu.fr</w:t>
              </w:r>
            </w:hyperlink>
            <w:r>
              <w:rPr>
                <w:rFonts w:eastAsia="Liberation Sans" w:asciiTheme="majorHAnsi" w:hAnsiTheme="majorHAnsi" w:cstheme="majorHAnsi"/>
                <w:color w:val="000000" w:themeColor="text1"/>
                <w:sz w:val="20"/>
                <w:szCs w:val="20"/>
              </w:rPr>
              <w:t xml:space="preserve">) &amp; Marianne Jover (marianne.jover@univ-amu.fr)</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D5D0A4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560E91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Enseignants-chercheurs, </w:t>
            </w:r>
            <w:r>
              <w:rPr>
                <w:rFonts w:eastAsia="Liberation Sans" w:asciiTheme="majorHAnsi" w:hAnsiTheme="majorHAnsi" w:cstheme="majorHAnsi"/>
                <w:color w:val="000000" w:themeColor="text1"/>
                <w:sz w:val="20"/>
                <w:szCs w:val="20"/>
              </w:rPr>
              <w:t xml:space="preserve">ATERs</w:t>
            </w:r>
            <w:r>
              <w:rPr>
                <w:rFonts w:eastAsia="Liberation Sans" w:asciiTheme="majorHAnsi" w:hAnsiTheme="majorHAnsi" w:cstheme="majorHAnsi"/>
                <w:color w:val="000000" w:themeColor="text1"/>
                <w:sz w:val="20"/>
                <w:szCs w:val="20"/>
              </w:rPr>
              <w:t xml:space="preserve">, chargé.es de cours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B24410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w:t>
            </w:r>
            <w:r>
              <w:rPr>
                <w:rFonts w:eastAsia="Times New Roman"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t xml:space="preserve">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8E0DB01" w14:textId="77777777">
            <w:pPr>
              <w:pBdr/>
              <w:spacing/>
              <w:ind w:firstLine="0"/>
              <w:rPr>
                <w:color w:val="000000" w:themeColor="text1"/>
                <w:sz w:val="20"/>
                <w:szCs w:val="20"/>
              </w:rPr>
            </w:pPr>
            <w:r>
              <w:rPr>
                <w:rFonts w:asciiTheme="majorHAnsi" w:hAnsiTheme="majorHAnsi" w:cstheme="majorHAnsi"/>
                <w:color w:val="000000" w:themeColor="text1"/>
                <w:sz w:val="20"/>
                <w:szCs w:val="20"/>
              </w:rPr>
              <w:t xml:space="preserve">L’enseignement est uniquement proposé par le biais de TD. </w:t>
            </w:r>
            <w:r>
              <w:rPr>
                <w:color w:val="000000" w:themeColor="text1"/>
                <w:sz w:val="20"/>
                <w:szCs w:val="20"/>
              </w:rPr>
            </w:r>
            <w:r>
              <w:rPr>
                <w:color w:val="000000" w:themeColor="text1"/>
                <w:sz w:val="20"/>
                <w:szCs w:val="20"/>
              </w:rPr>
            </w:r>
          </w:p>
          <w:p w14:paraId="153E9E31" w14:textId="77777777">
            <w:pPr>
              <w:pStyle w:val="1193"/>
              <w:numPr>
                <w:ilvl w:val="0"/>
                <w:numId w:val="41"/>
              </w:numPr>
              <w:pBdr/>
              <w:spacing/>
              <w:ind/>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 xml:space="preserve">3 TD porteront sur des techniques de recherche (e.g., entretien de recherche, ECG, </w:t>
            </w:r>
            <w:r>
              <w:rPr>
                <w:rFonts w:asciiTheme="majorHAnsi" w:hAnsiTheme="majorHAnsi" w:cstheme="majorHAnsi"/>
                <w:color w:val="000000" w:themeColor="text1"/>
                <w:sz w:val="20"/>
                <w:szCs w:val="20"/>
              </w:rPr>
              <w:t xml:space="preserve">LimeSurvey</w:t>
            </w:r>
            <w:r>
              <w:rPr>
                <w:rFonts w:asciiTheme="majorHAnsi" w:hAnsiTheme="majorHAnsi" w:cstheme="majorHAnsi"/>
                <w:color w:val="000000" w:themeColor="text1"/>
                <w:sz w:val="20"/>
                <w:szCs w:val="20"/>
              </w:rPr>
              <w:t xml:space="preserve">)</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p w14:paraId="1E4775B3" w14:textId="77777777">
            <w:pPr>
              <w:pStyle w:val="1193"/>
              <w:numPr>
                <w:ilvl w:val="0"/>
                <w:numId w:val="41"/>
              </w:numPr>
              <w:pBdr/>
              <w:spacing/>
              <w:ind/>
              <w:rPr>
                <w:rFonts w:asciiTheme="majorHAnsi" w:hAnsiTheme="majorHAnsi" w:cstheme="majorHAnsi"/>
                <w:color w:val="000000"/>
                <w:sz w:val="20"/>
                <w:szCs w:val="20"/>
              </w:rPr>
            </w:pPr>
            <w:r>
              <w:rPr>
                <w:rFonts w:asciiTheme="majorHAnsi" w:hAnsiTheme="majorHAnsi" w:cstheme="majorHAnsi"/>
                <w:color w:val="000000" w:themeColor="text1"/>
                <w:sz w:val="20"/>
                <w:szCs w:val="20"/>
              </w:rPr>
              <w:t xml:space="preserve">3 TD sur la réalisation du TER dans la continuité du travail de </w:t>
            </w:r>
            <w:r>
              <w:rPr>
                <w:rFonts w:asciiTheme="majorHAnsi" w:hAnsiTheme="majorHAnsi" w:cstheme="majorHAnsi"/>
                <w:color w:val="000000" w:themeColor="text1"/>
                <w:sz w:val="20"/>
                <w:szCs w:val="20"/>
              </w:rPr>
              <w:t xml:space="preserve">TER  initié</w:t>
            </w:r>
            <w:r>
              <w:rPr>
                <w:rFonts w:asciiTheme="majorHAnsi" w:hAnsiTheme="majorHAnsi" w:cstheme="majorHAnsi"/>
                <w:color w:val="000000" w:themeColor="text1"/>
                <w:sz w:val="20"/>
                <w:szCs w:val="20"/>
              </w:rPr>
              <w:t xml:space="preserve"> au semestre 5</w:t>
            </w:r>
            <w:r>
              <w:rPr>
                <w:rFonts w:asciiTheme="majorHAnsi" w:hAnsiTheme="majorHAnsi" w:cstheme="majorHAnsi"/>
                <w:color w:val="000000"/>
                <w:sz w:val="20"/>
                <w:szCs w:val="20"/>
              </w:rPr>
            </w:r>
            <w:r>
              <w:rPr>
                <w:rFonts w:asciiTheme="majorHAnsi" w:hAnsiTheme="majorHAnsi" w:cstheme="majorHAnsi"/>
                <w:color w:val="000000"/>
                <w:sz w:val="20"/>
                <w:szCs w:val="20"/>
              </w:rPr>
            </w:r>
          </w:p>
          <w:p w14:paraId="367B1AD6" w14:textId="77777777">
            <w:pPr>
              <w:pBdr/>
              <w:spacing/>
              <w:ind w:firstLine="0"/>
              <w:rPr>
                <w:rFonts w:asciiTheme="majorHAnsi" w:hAnsiTheme="majorHAnsi" w:cstheme="majorHAnsi"/>
                <w:color w:val="000000"/>
                <w:sz w:val="20"/>
                <w:szCs w:val="20"/>
              </w:rPr>
            </w:pPr>
            <w:r>
              <w:rPr>
                <w:rFonts w:asciiTheme="majorHAnsi" w:hAnsiTheme="majorHAnsi" w:cstheme="majorHAnsi"/>
                <w:color w:val="000000" w:themeColor="text1"/>
                <w:sz w:val="20"/>
                <w:szCs w:val="20"/>
              </w:rPr>
              <w:t xml:space="preserve">L’étudiant n’aura pas la possibilité de changer de thématique de TER entre le semestre 5 et le semestre 6</w:t>
            </w:r>
            <w:r>
              <w:rPr>
                <w:rFonts w:asciiTheme="majorHAnsi" w:hAnsiTheme="majorHAnsi" w:cstheme="majorHAnsi"/>
                <w:color w:val="000000"/>
                <w:sz w:val="20"/>
                <w:szCs w:val="20"/>
              </w:rPr>
            </w:r>
            <w:r>
              <w:rPr>
                <w:rFonts w:asciiTheme="majorHAnsi" w:hAnsiTheme="majorHAnsi" w:cstheme="majorHAnsi"/>
                <w:color w:val="000000"/>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322D65F4" w14:textId="77777777">
            <w:pPr>
              <w:pBdr>
                <w:top w:val="none" w:color="000000" w:sz="4" w:space="0"/>
                <w:left w:val="none" w:color="000000" w:sz="4" w:space="0"/>
                <w:bottom w:val="none" w:color="000000" w:sz="4" w:space="0"/>
                <w:right w:val="none" w:color="000000" w:sz="4" w:space="0"/>
              </w:pBdr>
              <w:spacing/>
              <w:ind w:firstLine="0"/>
              <w:rPr/>
            </w:pPr>
            <w:r>
              <w:rPr>
                <w:rFonts w:ascii="Calibri Light" w:hAnsi="Calibri Light" w:eastAsia="Calibri Light" w:cs="Calibri Light"/>
                <w:color w:val="000000"/>
                <w:sz w:val="20"/>
              </w:rPr>
              <w:t xml:space="preserve">Modalités pédagogiques </w:t>
            </w: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2ACFD7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ascii="Calibri Light" w:hAnsi="Calibri Light" w:eastAsia="Calibri Light" w:cs="Calibri Light"/>
                <w:color w:val="000000"/>
                <w:sz w:val="20"/>
              </w:rPr>
              <w:t xml:space="preserve">L’UE est présente chaque semestre et comporte une continuité. L’objectif est d’assurer la transition entre la lecture de travaux de recherche scientifique et la réalisation de recherche scientifique.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882114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0DE3BB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83ACC4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2BB133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Français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BF8B73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F99C000" w14:textId="77777777">
            <w:pPr>
              <w:pBdr>
                <w:top w:val="none" w:color="000000" w:sz="4" w:space="0"/>
                <w:left w:val="none" w:color="000000" w:sz="4" w:space="0"/>
                <w:bottom w:val="none" w:color="000000" w:sz="4" w:space="0"/>
                <w:right w:val="none" w:color="000000" w:sz="4" w:space="0"/>
              </w:pBdr>
              <w:spacing/>
              <w:ind w:firstLine="0"/>
              <w:rPr/>
            </w:pPr>
            <w:r>
              <w:rPr>
                <w:rFonts w:ascii="Calibri Light" w:hAnsi="Calibri Light" w:eastAsia="Calibri Light" w:cs="Calibri Light"/>
                <w:color w:val="000000"/>
                <w:sz w:val="20"/>
              </w:rPr>
              <w:t xml:space="preserve">Psychologie développementale et différentielle</w:t>
            </w:r>
            <w:r/>
          </w:p>
        </w:tc>
      </w:tr>
      <w:tr>
        <w:trPr/>
        <w:tc>
          <w:tcPr>
            <w:shd w:val="clear" w:color="auto" w:fill="auto"/>
            <w:tcBorders>
              <w:left w:val="single" w:color="000000" w:sz="4" w:space="0"/>
              <w:bottom w:val="single" w:color="000000" w:sz="4" w:space="0"/>
            </w:tcBorders>
            <w:tcW w:w="3402" w:type="dxa"/>
          </w:tcPr>
          <w:p w14:paraId="2B5749D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EB813F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12h TD / 24h PA</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BF6B20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2179BE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D54929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088580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9DE7FA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obligatoire</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7D4944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54A4C9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recommandé</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E688EC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DF472F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5EB6D4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3BB4574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0841B3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t xml:space="preserve">Contrôle terminal (dossier – remise du TER)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r>
    </w:tbl>
    <w:p w14:paraId="3C34525F" w14:textId="3E48D7BD">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0B89343F" w14:textId="29A60C69">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236E279" w14:textId="6E9B1CFD">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FB3F85E" w14:textId="464BFBB3">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C03DBCA" w14:textId="6B13C573">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708AAA5C" w14:textId="12B686AF">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tbl>
      <w:tblPr>
        <w:tblStyle w:val="1171"/>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247D8302"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E17A6C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2DFDB21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78A6B99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HPS6U44</w:t>
            </w:r>
            <w:r>
              <w:rPr>
                <w:rFonts w:eastAsia="Liberation Sans" w:asciiTheme="majorHAnsi" w:hAnsiTheme="majorHAnsi" w:cstheme="majorHAnsi"/>
                <w:b/>
                <w:color w:val="000000" w:themeColor="text1"/>
                <w:sz w:val="20"/>
                <w:szCs w:val="20"/>
                <w:highlight w:val="yellow"/>
              </w:rPr>
            </w:r>
            <w:r>
              <w:rPr>
                <w:rFonts w:eastAsia="Liberation Sans" w:asciiTheme="majorHAnsi" w:hAnsiTheme="majorHAnsi" w:cstheme="majorHAnsi"/>
                <w:b/>
                <w:color w:val="000000" w:themeColor="text1"/>
                <w:sz w:val="20"/>
                <w:szCs w:val="20"/>
                <w:highlight w:val="yellow"/>
              </w:rPr>
            </w:r>
          </w:p>
        </w:tc>
      </w:tr>
      <w:tr>
        <w:trPr/>
        <w:tc>
          <w:tcPr>
            <w:shd w:val="clear" w:color="auto" w:fill="auto"/>
            <w:tcBorders>
              <w:left w:val="single" w:color="000000" w:sz="4" w:space="0"/>
              <w:bottom w:val="single" w:color="000000" w:sz="4" w:space="0"/>
            </w:tcBorders>
            <w:tcW w:w="3402" w:type="dxa"/>
          </w:tcPr>
          <w:p w14:paraId="2D8A872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66EEB2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TER Sociale B</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102BD5B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CB1F4B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24155B1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62536C8C" w14:textId="77777777">
            <w:pPr>
              <w:pBdr/>
              <w:spacing/>
              <w:ind w:firstLine="0"/>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5BA6A35E"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22D63DC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622B14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3BF7E42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6 ECTS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18A54CCA"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87F95E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6E4A41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C7766D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2A30674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1DF6242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C1E40B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FA6E31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Marina </w:t>
            </w:r>
            <w:r>
              <w:rPr>
                <w:rFonts w:eastAsia="Liberation Sans" w:asciiTheme="majorHAnsi" w:hAnsiTheme="majorHAnsi" w:cstheme="majorHAnsi"/>
                <w:color w:val="000000" w:themeColor="text1"/>
                <w:sz w:val="20"/>
                <w:szCs w:val="20"/>
              </w:rPr>
              <w:t xml:space="preserve">Burakova</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688C60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8221ED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EB5CF2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w:t>
            </w:r>
            <w:r>
              <w:rPr>
                <w:rFonts w:eastAsia="Times New Roman"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t xml:space="preserve">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FD85B1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785C7D3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0F3BC77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9A6462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ADD23F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2169033"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6A6CB4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Français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A03052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0E9DB1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1ED952D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24CC91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16h CM et 44h TD</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4DF0FD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C6F291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BE17AE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435CBB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AFB55BF"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obligatoire</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715668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199EC5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recommandé</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090D19E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FF2D43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31C4905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2BBA2B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35F020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t xml:space="preserve">Contrôle terminal</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r>
    </w:tbl>
    <w:p w14:paraId="7F599367" w14:textId="2A78E096">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7A4CB23B" w14:textId="6B5E762B">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1E84FD3" w14:textId="684B2366">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599E06A" w14:textId="1B430C9D">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7647AF29" w14:textId="3717A6B7">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16386D6" w14:textId="023876BE">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B3016F0" w14:textId="0EECCCB6">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2D760C3A" w14:textId="24BFEA0F">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718304E2" w14:textId="4A5F3E39">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2E2EEBE" w14:textId="16EDC74B">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B033AAC" w14:textId="05EEBBB1">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2A33BA9" w14:textId="3B348B60">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9D3B891" w14:textId="7A5C7295">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7A4AB26" w14:textId="1346B5BC">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AB6BA7A" w14:textId="6F1C913D">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5FCD6D5" w14:textId="3FCA8504">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75DC9E9" w14:textId="4417D938">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1F5108F" w14:textId="11892847">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5DAD59A" w14:textId="47415C6C">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1836F28" w14:textId="1A4C15CB">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73ECD26D" w14:textId="5F519CF3">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tbl>
      <w:tblPr>
        <w:tblStyle w:val="1171"/>
        <w:tblInd w:w="57" w:type="dxa"/>
        <w:tblW w:w="9638" w:type="dxa"/>
        <w:tblBorders/>
        <w:tblLayout w:type="fixed"/>
        <w:tblLook w:val="0000" w:firstRow="0" w:lastRow="0" w:firstColumn="0" w:lastColumn="0" w:noHBand="0" w:noVBand="0"/>
      </w:tblPr>
      <w:tblGrid>
        <w:gridCol w:w="3402"/>
        <w:gridCol w:w="6236"/>
      </w:tblGrid>
      <w:tr>
        <w:trPr/>
        <w:tc>
          <w:tcPr>
            <w:shd w:val="clear" w:color="auto" w:fill="e6e6e6"/>
            <w:tcBorders>
              <w:top w:val="single" w:color="000000" w:sz="4" w:space="0"/>
              <w:left w:val="single" w:color="000000" w:sz="4" w:space="0"/>
              <w:bottom w:val="single" w:color="000000" w:sz="4" w:space="0"/>
            </w:tcBorders>
            <w:tcW w:w="3402" w:type="dxa"/>
          </w:tcPr>
          <w:p w14:paraId="6A449B4E"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6506E4B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rHeight w:val="220"/>
        </w:trPr>
        <w:tc>
          <w:tcPr>
            <w:shd w:val="clear" w:color="auto" w:fill="auto"/>
            <w:tcBorders>
              <w:left w:val="single" w:color="000000" w:sz="4" w:space="0"/>
              <w:bottom w:val="single" w:color="000000" w:sz="4" w:space="0"/>
            </w:tcBorders>
            <w:tcW w:w="3402" w:type="dxa"/>
          </w:tcPr>
          <w:p w14:paraId="7679FD5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Code</w:t>
            </w:r>
            <w:r>
              <w:rPr>
                <w:rFonts w:eastAsia="Liberation Sans" w:asciiTheme="majorHAnsi" w:hAnsiTheme="majorHAnsi" w:cstheme="majorHAnsi"/>
                <w:i/>
                <w:color w:val="000000" w:themeColor="text1"/>
                <w:sz w:val="20"/>
                <w:szCs w:val="20"/>
                <w:highlight w:val="yellow"/>
              </w:rPr>
            </w:r>
            <w:r>
              <w:rPr>
                <w:rFonts w:eastAsia="Liberation Sans" w:asciiTheme="majorHAnsi" w:hAnsiTheme="majorHAnsi" w:cstheme="majorHAnsi"/>
                <w:i/>
                <w:color w:val="000000" w:themeColor="text1"/>
                <w:sz w:val="20"/>
                <w:szCs w:val="20"/>
                <w:highlight w:val="yellow"/>
              </w:rPr>
            </w:r>
          </w:p>
        </w:tc>
        <w:tc>
          <w:tcPr>
            <w:shd w:val="clear" w:color="auto" w:fill="auto"/>
            <w:tcBorders>
              <w:left w:val="single" w:color="000000" w:sz="4" w:space="0"/>
              <w:bottom w:val="single" w:color="000000" w:sz="4" w:space="0"/>
              <w:right w:val="single" w:color="000000" w:sz="4" w:space="0"/>
            </w:tcBorders>
            <w:tcW w:w="6236" w:type="dxa"/>
          </w:tcPr>
          <w:p w14:paraId="40F9E0B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highlight w:val="yellow"/>
              </w:rPr>
            </w:pPr>
            <w:r>
              <w:rPr>
                <w:rFonts w:eastAsia="Liberation Sans" w:asciiTheme="majorHAnsi" w:hAnsiTheme="majorHAnsi" w:cstheme="majorHAnsi"/>
                <w:b/>
                <w:color w:val="000000" w:themeColor="text1"/>
                <w:sz w:val="20"/>
                <w:szCs w:val="20"/>
              </w:rPr>
              <w:t xml:space="preserve">HPS6U46</w:t>
            </w:r>
            <w:r>
              <w:rPr>
                <w:rFonts w:eastAsia="Liberation Sans" w:asciiTheme="majorHAnsi" w:hAnsiTheme="majorHAnsi" w:cstheme="majorHAnsi"/>
                <w:b/>
                <w:color w:val="000000" w:themeColor="text1"/>
                <w:sz w:val="20"/>
                <w:szCs w:val="20"/>
                <w:highlight w:val="yellow"/>
              </w:rPr>
            </w:r>
            <w:r>
              <w:rPr>
                <w:rFonts w:eastAsia="Liberation Sans" w:asciiTheme="majorHAnsi" w:hAnsiTheme="majorHAnsi" w:cstheme="majorHAnsi"/>
                <w:b/>
                <w:color w:val="000000" w:themeColor="text1"/>
                <w:sz w:val="20"/>
                <w:szCs w:val="20"/>
                <w:highlight w:val="yellow"/>
              </w:rPr>
            </w:r>
          </w:p>
        </w:tc>
      </w:tr>
      <w:tr>
        <w:trPr/>
        <w:tc>
          <w:tcPr>
            <w:shd w:val="clear" w:color="auto" w:fill="auto"/>
            <w:tcBorders>
              <w:left w:val="single" w:color="000000" w:sz="4" w:space="0"/>
              <w:bottom w:val="single" w:color="000000" w:sz="4" w:space="0"/>
            </w:tcBorders>
            <w:tcW w:w="3402" w:type="dxa"/>
          </w:tcPr>
          <w:p w14:paraId="03500F0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Intitulé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15C393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ascii="Arial" w:hAnsi="Arial" w:eastAsia="Arial" w:cs="Arial"/>
                <w:b/>
                <w:color w:val="000000"/>
                <w:sz w:val="20"/>
              </w:rPr>
              <w:t xml:space="preserve">Situations Contemporaines &amp; Vulnérabilités Traumatiques : Approche Pluridisciplinaire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6760545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Mots-clés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759016F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ascii="Calibri Light" w:hAnsi="Calibri Light" w:eastAsia="Calibri Light" w:cs="Calibri Light"/>
                <w:color w:val="000000"/>
                <w:sz w:val="20"/>
              </w:rPr>
              <w:t xml:space="preserve">Dissociation ; Personnalité ; Mouvements sociaux ; Traumatismes ; Troubles du Stress Post-Traumatique ; Radicalisation ; Régulation émotionnelle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053AB0D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Description du contenu de l</w:t>
            </w:r>
            <w:r>
              <w:rPr>
                <w:rFonts w:eastAsia="Times New Roman" w:asciiTheme="majorHAnsi" w:hAnsiTheme="majorHAnsi" w:cstheme="majorHAnsi"/>
                <w:b/>
                <w:color w:val="000000" w:themeColor="text1"/>
                <w:sz w:val="20"/>
                <w:szCs w:val="20"/>
              </w:rPr>
              <w:t xml:space="preserve">’</w:t>
            </w:r>
            <w:r>
              <w:rPr>
                <w:rFonts w:eastAsia="Liberation Sans" w:asciiTheme="majorHAnsi" w:hAnsiTheme="majorHAnsi" w:cstheme="majorHAnsi"/>
                <w:b/>
                <w:color w:val="000000" w:themeColor="text1"/>
                <w:sz w:val="20"/>
                <w:szCs w:val="20"/>
              </w:rPr>
              <w:t xml:space="preserve">enseignement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379DD70E" w14:textId="77777777">
            <w:pPr>
              <w:pBdr/>
              <w:spacing/>
              <w:ind w:firstLine="0"/>
              <w:rPr>
                <w:rFonts w:asciiTheme="majorHAnsi" w:hAnsiTheme="majorHAnsi" w:cstheme="majorHAnsi"/>
                <w:color w:val="000000" w:themeColor="text1"/>
                <w:sz w:val="20"/>
                <w:szCs w:val="20"/>
              </w:rPr>
            </w:pPr>
            <w:r>
              <w:rPr>
                <w:rFonts w:ascii="Calibri Light" w:hAnsi="Calibri Light" w:eastAsia="Calibri Light" w:cs="Calibri Light"/>
                <w:color w:val="000000"/>
                <w:sz w:val="20"/>
              </w:rPr>
              <w:t xml:space="preserve">Cet enseignement vise à offrir une perspective pluridisciplinaire des modifications psychologiques qui font suite à des événements individuels ou collectifs</w:t>
            </w:r>
            <w:r>
              <w:rPr>
                <w:rFonts w:asciiTheme="majorHAnsi" w:hAnsiTheme="majorHAnsi" w:cstheme="majorHAnsi"/>
                <w:color w:val="000000" w:themeColor="text1"/>
                <w:sz w:val="20"/>
                <w:szCs w:val="20"/>
              </w:rPr>
            </w:r>
            <w:r>
              <w:rPr>
                <w:rFont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447AC00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Nombre de crédits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34259C7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6 ECTS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4409F040" w14:textId="77777777">
            <w:pPr>
              <w:pBdr/>
              <w:spacing/>
              <w:ind/>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r>
              <w:rPr>
                <w:rFont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4C52B0C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E48761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Compétences à acquérir</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CE6D36D"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Connaître les différentes approches du psycho-traumatisme</w:t>
            </w:r>
            <w:r/>
          </w:p>
          <w:p w14:paraId="6E49E7AB"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Comprendre le phénomène dissociatif</w:t>
            </w:r>
            <w:r/>
          </w:p>
          <w:p w14:paraId="24497AB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ascii="Calibri Light" w:hAnsi="Calibri Light" w:eastAsia="Calibri Light" w:cs="Calibri Light"/>
                <w:color w:val="000000"/>
                <w:sz w:val="20"/>
                <w:szCs w:val="20"/>
              </w:rPr>
            </w:pPr>
            <w:r>
              <w:rPr>
                <w:rFonts w:ascii="Calibri Light" w:hAnsi="Calibri Light" w:eastAsia="Calibri Light" w:cs="Calibri Light"/>
                <w:color w:val="000000"/>
                <w:sz w:val="20"/>
              </w:rPr>
              <w:t xml:space="preserve">Connaître les approches théoriques de la régulation émotionnelle</w:t>
            </w:r>
            <w:r>
              <w:rPr>
                <w:rFonts w:ascii="Calibri Light" w:hAnsi="Calibri Light" w:eastAsia="Calibri Light" w:cs="Calibri Light"/>
                <w:color w:val="000000"/>
                <w:sz w:val="20"/>
                <w:szCs w:val="20"/>
              </w:rPr>
            </w:r>
            <w:r>
              <w:rPr>
                <w:rFonts w:ascii="Calibri Light" w:hAnsi="Calibri Light" w:eastAsia="Calibri Light" w:cs="Calibri Light"/>
                <w:color w:val="000000"/>
                <w:sz w:val="20"/>
                <w:szCs w:val="20"/>
              </w:rPr>
            </w:r>
          </w:p>
          <w:p w14:paraId="31F49D9C"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Comprendre les liens entre TSPT et régulation émotionnelle</w:t>
            </w:r>
            <w:r/>
          </w:p>
          <w:p w14:paraId="104F443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ascii="Calibri Light" w:hAnsi="Calibri Light" w:eastAsia="Calibri Light" w:cs="Calibri Light"/>
                <w:color w:val="000000"/>
                <w:sz w:val="20"/>
              </w:rPr>
              <w:t xml:space="preserve">Comprendre les enjeux sociaux, culturels et politiques du psycho-traumatisme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771EFEB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B1FB6FB"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DF6E362"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Responsable / Contact</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637E1B3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Fabrice Guillaume &amp; Emmanuelle Le </w:t>
            </w:r>
            <w:r>
              <w:rPr>
                <w:rFonts w:eastAsia="Liberation Sans" w:asciiTheme="majorHAnsi" w:hAnsiTheme="majorHAnsi" w:cstheme="majorHAnsi"/>
                <w:color w:val="000000" w:themeColor="text1"/>
                <w:sz w:val="20"/>
                <w:szCs w:val="20"/>
              </w:rPr>
              <w:t xml:space="preserve">Barbenchon</w:t>
            </w:r>
            <w:r>
              <w:rPr>
                <w:rFonts w:eastAsia="Liberation Sans" w:asciiTheme="majorHAnsi" w:hAnsiTheme="majorHAnsi" w:cstheme="majorHAnsi"/>
                <w:color w:val="000000" w:themeColor="text1"/>
                <w:sz w:val="20"/>
                <w:szCs w:val="20"/>
              </w:rPr>
              <w:t xml:space="preserve"> &amp; Jean-Baptiste </w:t>
            </w:r>
            <w:r>
              <w:rPr>
                <w:rFonts w:eastAsia="Liberation Sans" w:asciiTheme="majorHAnsi" w:hAnsiTheme="majorHAnsi" w:cstheme="majorHAnsi"/>
                <w:color w:val="000000" w:themeColor="text1"/>
                <w:sz w:val="20"/>
                <w:szCs w:val="20"/>
              </w:rPr>
              <w:t xml:space="preserve">Pavani</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4B96FD9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Intervenants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7A8A5E57"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Thomas Arciszewski</w:t>
            </w:r>
            <w:r/>
          </w:p>
          <w:p w14:paraId="2952386D"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Fabrice Guillaume </w:t>
            </w:r>
            <w:r/>
          </w:p>
          <w:p w14:paraId="524B7B26"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Emmanuelle Le </w:t>
            </w:r>
            <w:r>
              <w:rPr>
                <w:rFonts w:ascii="Calibri Light" w:hAnsi="Calibri Light" w:eastAsia="Calibri Light" w:cs="Calibri Light"/>
                <w:color w:val="000000"/>
                <w:sz w:val="20"/>
              </w:rPr>
              <w:t xml:space="preserve">Barbenchon</w:t>
            </w:r>
            <w:r/>
          </w:p>
          <w:p w14:paraId="34C03A92"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Sloveig</w:t>
            </w:r>
            <w:r>
              <w:rPr>
                <w:rFonts w:ascii="Calibri Light" w:hAnsi="Calibri Light" w:eastAsia="Calibri Light" w:cs="Calibri Light"/>
                <w:color w:val="000000"/>
                <w:sz w:val="20"/>
              </w:rPr>
              <w:t xml:space="preserve"> </w:t>
            </w:r>
            <w:r>
              <w:rPr>
                <w:rFonts w:ascii="Calibri Light" w:hAnsi="Calibri Light" w:eastAsia="Calibri Light" w:cs="Calibri Light"/>
                <w:color w:val="000000"/>
                <w:sz w:val="20"/>
              </w:rPr>
              <w:t xml:space="preserve">Lelaurain</w:t>
            </w:r>
            <w:r/>
          </w:p>
          <w:p w14:paraId="4D93BDBE"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Raphael </w:t>
            </w:r>
            <w:r>
              <w:rPr>
                <w:rFonts w:ascii="Calibri Light" w:hAnsi="Calibri Light" w:eastAsia="Calibri Light" w:cs="Calibri Light"/>
                <w:color w:val="000000"/>
                <w:sz w:val="20"/>
              </w:rPr>
              <w:t xml:space="preserve">Mizzi</w:t>
            </w:r>
            <w:r/>
          </w:p>
          <w:p w14:paraId="37E2FF8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ascii="Calibri Light" w:hAnsi="Calibri Light" w:eastAsia="Calibri Light" w:cs="Calibri Light"/>
                <w:color w:val="000000"/>
                <w:sz w:val="20"/>
              </w:rPr>
              <w:t xml:space="preserve">Jean-Baptiste </w:t>
            </w:r>
            <w:r>
              <w:rPr>
                <w:rFonts w:ascii="Calibri Light" w:hAnsi="Calibri Light" w:eastAsia="Calibri Light" w:cs="Calibri Light"/>
                <w:color w:val="000000"/>
                <w:sz w:val="20"/>
              </w:rPr>
              <w:t xml:space="preserve">Pavani</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15BBB0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d</w:t>
            </w:r>
            <w:r>
              <w:rPr>
                <w:rFonts w:eastAsia="Times New Roman" w:asciiTheme="majorHAnsi" w:hAnsiTheme="majorHAnsi" w:cstheme="majorHAnsi"/>
                <w:color w:val="000000" w:themeColor="text1"/>
                <w:sz w:val="20"/>
                <w:szCs w:val="20"/>
              </w:rPr>
              <w:t xml:space="preserve">’</w:t>
            </w:r>
            <w:r>
              <w:rPr>
                <w:rFonts w:eastAsia="Liberation Sans" w:asciiTheme="majorHAnsi" w:hAnsiTheme="majorHAnsi" w:cstheme="majorHAnsi"/>
                <w:color w:val="000000" w:themeColor="text1"/>
                <w:sz w:val="20"/>
                <w:szCs w:val="20"/>
              </w:rPr>
              <w:t xml:space="preserve">organisation et de suivi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72328D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ascii="Calibri Light" w:hAnsi="Calibri Light" w:eastAsia="Calibri Light" w:cs="Calibri Light"/>
                <w:color w:val="000000"/>
                <w:sz w:val="20"/>
              </w:rPr>
              <w:t xml:space="preserve">Cours magistraux et TD par groupes thématiques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top w:val="single" w:color="000000" w:sz="4" w:space="0"/>
              <w:left w:val="single" w:color="000000" w:sz="4" w:space="0"/>
              <w:bottom w:val="single" w:color="000000" w:sz="4" w:space="0"/>
            </w:tcBorders>
            <w:tcW w:w="3402" w:type="dxa"/>
          </w:tcPr>
          <w:p w14:paraId="743E3B0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Modalités pédagogiques </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6236" w:type="dxa"/>
          </w:tcPr>
          <w:p w14:paraId="126AF87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ascii="Calibri Light" w:hAnsi="Calibri Light" w:eastAsia="Calibri Light" w:cs="Calibri Light"/>
                <w:color w:val="000000"/>
                <w:sz w:val="20"/>
              </w:rPr>
              <w:t xml:space="preserve">CM TD et pédagogie active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333E84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796264F9"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7F56D330"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Langue principale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40F0DA5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Français</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194FCD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Discipline</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BB59F66" w14:textId="77777777">
            <w:pPr>
              <w:pBdr>
                <w:top w:val="none" w:color="000000" w:sz="4" w:space="0"/>
                <w:left w:val="none" w:color="000000" w:sz="4" w:space="0"/>
                <w:bottom w:val="none" w:color="000000" w:sz="4" w:space="0"/>
                <w:right w:val="none" w:color="000000" w:sz="4" w:space="0"/>
                <w:between w:val="none" w:color="000000" w:sz="4" w:space="0"/>
              </w:pBdr>
              <w:spacing/>
              <w:ind w:firstLine="0"/>
              <w:rPr/>
            </w:pPr>
            <w:r>
              <w:rPr>
                <w:rFonts w:ascii="Calibri Light" w:hAnsi="Calibri Light" w:eastAsia="Calibri Light" w:cs="Calibri Light"/>
                <w:color w:val="000000"/>
                <w:sz w:val="20"/>
              </w:rPr>
              <w:t xml:space="preserve">Psychologie</w:t>
            </w:r>
            <w:r/>
          </w:p>
        </w:tc>
      </w:tr>
      <w:tr>
        <w:trPr/>
        <w:tc>
          <w:tcPr>
            <w:shd w:val="clear" w:color="auto" w:fill="auto"/>
            <w:tcBorders>
              <w:left w:val="single" w:color="000000" w:sz="4" w:space="0"/>
              <w:bottom w:val="single" w:color="000000" w:sz="4" w:space="0"/>
            </w:tcBorders>
            <w:tcW w:w="3402" w:type="dxa"/>
          </w:tcPr>
          <w:p w14:paraId="29E37A34"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Volume horaire global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6D3DA1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t xml:space="preserve">12h TD / 24h PA</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6EDC5276"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b/>
                <w:color w:val="000000" w:themeColor="text1"/>
                <w:sz w:val="20"/>
                <w:szCs w:val="20"/>
              </w:rPr>
              <w:t xml:space="preserve">Bibliographie, lectures recommandées</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155477CC" w14:textId="77777777">
            <w:pPr>
              <w:pBdr>
                <w:top w:val="none" w:color="000000" w:sz="4" w:space="0"/>
                <w:left w:val="none" w:color="000000" w:sz="4" w:space="0"/>
                <w:bottom w:val="none" w:color="000000" w:sz="4" w:space="0"/>
                <w:right w:val="none" w:color="000000" w:sz="4" w:space="0"/>
              </w:pBdr>
              <w:spacing/>
              <w:ind w:hanging="567" w:left="567"/>
              <w:rPr/>
            </w:pPr>
            <w:r>
              <w:rPr>
                <w:color w:val="000000"/>
                <w:sz w:val="20"/>
              </w:rPr>
              <w:t xml:space="preserve">Atchley</w:t>
            </w:r>
            <w:r>
              <w:rPr>
                <w:color w:val="000000"/>
                <w:sz w:val="20"/>
              </w:rPr>
              <w:t xml:space="preserve">, R., &amp; Bedford, C. (2021). Dissociative </w:t>
            </w:r>
            <w:r>
              <w:rPr>
                <w:color w:val="000000"/>
                <w:sz w:val="20"/>
              </w:rPr>
              <w:t xml:space="preserve">symptoms</w:t>
            </w:r>
            <w:r>
              <w:rPr>
                <w:color w:val="000000"/>
                <w:sz w:val="20"/>
              </w:rPr>
              <w:t xml:space="preserve"> in </w:t>
            </w:r>
            <w:r>
              <w:rPr>
                <w:color w:val="000000"/>
                <w:sz w:val="20"/>
              </w:rPr>
              <w:t xml:space="preserve">posttraumatic</w:t>
            </w:r>
            <w:r>
              <w:rPr>
                <w:color w:val="000000"/>
                <w:sz w:val="20"/>
              </w:rPr>
              <w:t xml:space="preserve"> stress </w:t>
            </w:r>
            <w:r>
              <w:rPr>
                <w:color w:val="000000"/>
                <w:sz w:val="20"/>
              </w:rPr>
              <w:t xml:space="preserve">disorder</w:t>
            </w:r>
            <w:r>
              <w:rPr>
                <w:color w:val="000000"/>
                <w:sz w:val="20"/>
              </w:rPr>
              <w:t xml:space="preserve">:</w:t>
            </w:r>
            <w:r>
              <w:rPr>
                <w:color w:val="000000"/>
                <w:sz w:val="20"/>
              </w:rPr>
              <w:t xml:space="preserve"> A </w:t>
            </w:r>
            <w:r>
              <w:rPr>
                <w:color w:val="000000"/>
                <w:sz w:val="20"/>
              </w:rPr>
              <w:t xml:space="preserve">systematic</w:t>
            </w:r>
            <w:r>
              <w:rPr>
                <w:color w:val="000000"/>
                <w:sz w:val="20"/>
              </w:rPr>
              <w:t xml:space="preserve"> </w:t>
            </w:r>
            <w:r>
              <w:rPr>
                <w:color w:val="000000"/>
                <w:sz w:val="20"/>
              </w:rPr>
              <w:t xml:space="preserve">review</w:t>
            </w:r>
            <w:r>
              <w:rPr>
                <w:color w:val="000000"/>
                <w:sz w:val="20"/>
              </w:rPr>
              <w:t xml:space="preserve">. </w:t>
            </w:r>
            <w:r>
              <w:rPr>
                <w:i/>
                <w:color w:val="000000"/>
                <w:sz w:val="20"/>
              </w:rPr>
              <w:t xml:space="preserve">Journal of Trauma &amp; Dissociation</w:t>
            </w:r>
            <w:r>
              <w:rPr>
                <w:color w:val="000000"/>
                <w:sz w:val="20"/>
              </w:rPr>
              <w:t xml:space="preserve">, </w:t>
            </w:r>
            <w:r>
              <w:rPr>
                <w:i/>
                <w:color w:val="000000"/>
                <w:sz w:val="20"/>
              </w:rPr>
              <w:t xml:space="preserve">22</w:t>
            </w:r>
            <w:r>
              <w:rPr>
                <w:color w:val="000000"/>
                <w:sz w:val="20"/>
              </w:rPr>
              <w:t xml:space="preserve">(1), 69-88.</w:t>
            </w:r>
            <w:r/>
          </w:p>
          <w:p w14:paraId="64849B8F" w14:textId="77777777">
            <w:pPr>
              <w:pBdr>
                <w:top w:val="none" w:color="000000" w:sz="4" w:space="0"/>
                <w:left w:val="none" w:color="000000" w:sz="4" w:space="0"/>
                <w:bottom w:val="none" w:color="000000" w:sz="4" w:space="0"/>
                <w:right w:val="none" w:color="000000" w:sz="4" w:space="0"/>
              </w:pBdr>
              <w:spacing/>
              <w:ind w:hanging="567" w:left="567"/>
              <w:rPr/>
            </w:pPr>
            <w:r>
              <w:rPr>
                <w:color w:val="000000"/>
                <w:sz w:val="20"/>
              </w:rPr>
              <w:t xml:space="preserve">Brewin</w:t>
            </w:r>
            <w:r>
              <w:rPr>
                <w:color w:val="000000"/>
                <w:sz w:val="20"/>
              </w:rPr>
              <w:t xml:space="preserve">, C. R. (2014). </w:t>
            </w:r>
            <w:r>
              <w:rPr>
                <w:color w:val="000000"/>
                <w:sz w:val="20"/>
              </w:rPr>
              <w:t xml:space="preserve">Episodic</w:t>
            </w:r>
            <w:r>
              <w:rPr>
                <w:color w:val="000000"/>
                <w:sz w:val="20"/>
              </w:rPr>
              <w:t xml:space="preserve"> memory, </w:t>
            </w:r>
            <w:r>
              <w:rPr>
                <w:color w:val="000000"/>
                <w:sz w:val="20"/>
              </w:rPr>
              <w:t xml:space="preserve">perceptual</w:t>
            </w:r>
            <w:r>
              <w:rPr>
                <w:color w:val="000000"/>
                <w:sz w:val="20"/>
              </w:rPr>
              <w:t xml:space="preserve"> memory, and </w:t>
            </w:r>
            <w:r>
              <w:rPr>
                <w:color w:val="000000"/>
                <w:sz w:val="20"/>
              </w:rPr>
              <w:t xml:space="preserve">their</w:t>
            </w:r>
            <w:r>
              <w:rPr>
                <w:color w:val="000000"/>
                <w:sz w:val="20"/>
              </w:rPr>
              <w:t xml:space="preserve"> </w:t>
            </w:r>
            <w:r>
              <w:rPr>
                <w:color w:val="000000"/>
                <w:sz w:val="20"/>
              </w:rPr>
              <w:t xml:space="preserve">interaction:</w:t>
            </w:r>
            <w:r>
              <w:rPr>
                <w:color w:val="000000"/>
                <w:sz w:val="20"/>
              </w:rPr>
              <w:t xml:space="preserve"> </w:t>
            </w:r>
            <w:r>
              <w:rPr>
                <w:color w:val="000000"/>
                <w:sz w:val="20"/>
              </w:rPr>
              <w:t xml:space="preserve">foundations</w:t>
            </w:r>
            <w:r>
              <w:rPr>
                <w:color w:val="000000"/>
                <w:sz w:val="20"/>
              </w:rPr>
              <w:t xml:space="preserve"> for a </w:t>
            </w:r>
            <w:r>
              <w:rPr>
                <w:color w:val="000000"/>
                <w:sz w:val="20"/>
              </w:rPr>
              <w:t xml:space="preserve">theory</w:t>
            </w:r>
            <w:r>
              <w:rPr>
                <w:color w:val="000000"/>
                <w:sz w:val="20"/>
              </w:rPr>
              <w:t xml:space="preserve"> of </w:t>
            </w:r>
            <w:r>
              <w:rPr>
                <w:color w:val="000000"/>
                <w:sz w:val="20"/>
              </w:rPr>
              <w:t xml:space="preserve">posttraumatic</w:t>
            </w:r>
            <w:r>
              <w:rPr>
                <w:color w:val="000000"/>
                <w:sz w:val="20"/>
              </w:rPr>
              <w:t xml:space="preserve"> stress </w:t>
            </w:r>
            <w:r>
              <w:rPr>
                <w:color w:val="000000"/>
                <w:sz w:val="20"/>
              </w:rPr>
              <w:t xml:space="preserve">disorder</w:t>
            </w:r>
            <w:r>
              <w:rPr>
                <w:color w:val="000000"/>
                <w:sz w:val="20"/>
              </w:rPr>
              <w:t xml:space="preserve">. </w:t>
            </w:r>
            <w:r>
              <w:rPr>
                <w:i/>
                <w:color w:val="000000"/>
                <w:sz w:val="20"/>
              </w:rPr>
              <w:t xml:space="preserve">Psychological</w:t>
            </w:r>
            <w:r>
              <w:rPr>
                <w:i/>
                <w:color w:val="000000"/>
                <w:sz w:val="20"/>
              </w:rPr>
              <w:t xml:space="preserve"> bulletin</w:t>
            </w:r>
            <w:r>
              <w:rPr>
                <w:color w:val="000000"/>
                <w:sz w:val="20"/>
              </w:rPr>
              <w:t xml:space="preserve">, </w:t>
            </w:r>
            <w:r>
              <w:rPr>
                <w:i/>
                <w:color w:val="000000"/>
                <w:sz w:val="20"/>
              </w:rPr>
              <w:t xml:space="preserve">140</w:t>
            </w:r>
            <w:r>
              <w:rPr>
                <w:color w:val="000000"/>
                <w:sz w:val="20"/>
              </w:rPr>
              <w:t xml:space="preserve">(1), 69.</w:t>
            </w:r>
            <w:r/>
          </w:p>
          <w:p w14:paraId="4E509D9B" w14:textId="77777777">
            <w:pPr>
              <w:pBdr>
                <w:top w:val="none" w:color="000000" w:sz="4" w:space="0"/>
                <w:left w:val="none" w:color="000000" w:sz="4" w:space="0"/>
                <w:bottom w:val="none" w:color="000000" w:sz="4" w:space="0"/>
                <w:right w:val="none" w:color="000000" w:sz="4" w:space="0"/>
              </w:pBdr>
              <w:spacing/>
              <w:ind w:hanging="567" w:left="567"/>
              <w:rPr/>
            </w:pPr>
            <w:r>
              <w:rPr>
                <w:color w:val="000000"/>
                <w:sz w:val="20"/>
              </w:rPr>
              <w:t xml:space="preserve">Brown, L. S. (1991). « Not </w:t>
            </w:r>
            <w:r>
              <w:rPr>
                <w:color w:val="000000"/>
                <w:sz w:val="20"/>
              </w:rPr>
              <w:t xml:space="preserve">Outside</w:t>
            </w:r>
            <w:r>
              <w:rPr>
                <w:color w:val="000000"/>
                <w:sz w:val="20"/>
              </w:rPr>
              <w:t xml:space="preserve"> the </w:t>
            </w:r>
            <w:r>
              <w:rPr>
                <w:color w:val="000000"/>
                <w:sz w:val="20"/>
              </w:rPr>
              <w:t xml:space="preserve">Range:</w:t>
            </w:r>
            <w:r>
              <w:rPr>
                <w:color w:val="000000"/>
                <w:sz w:val="20"/>
              </w:rPr>
              <w:t xml:space="preserve"> One </w:t>
            </w:r>
            <w:r>
              <w:rPr>
                <w:color w:val="000000"/>
                <w:sz w:val="20"/>
              </w:rPr>
              <w:t xml:space="preserve">Feminist</w:t>
            </w:r>
            <w:r>
              <w:rPr>
                <w:color w:val="000000"/>
                <w:sz w:val="20"/>
              </w:rPr>
              <w:t xml:space="preserve"> Perspective on </w:t>
            </w:r>
            <w:r>
              <w:rPr>
                <w:color w:val="000000"/>
                <w:sz w:val="20"/>
              </w:rPr>
              <w:t xml:space="preserve">Psychic</w:t>
            </w:r>
            <w:r>
              <w:rPr>
                <w:color w:val="000000"/>
                <w:sz w:val="20"/>
              </w:rPr>
              <w:t xml:space="preserve"> Trauma ». </w:t>
            </w:r>
            <w:r>
              <w:rPr>
                <w:i/>
                <w:color w:val="000000"/>
                <w:sz w:val="20"/>
              </w:rPr>
              <w:t xml:space="preserve">American </w:t>
            </w:r>
            <w:r>
              <w:rPr>
                <w:i/>
                <w:color w:val="000000"/>
                <w:sz w:val="20"/>
              </w:rPr>
              <w:t xml:space="preserve">Imago:</w:t>
            </w:r>
            <w:r>
              <w:rPr>
                <w:i/>
                <w:color w:val="000000"/>
                <w:sz w:val="20"/>
              </w:rPr>
              <w:t xml:space="preserve"> </w:t>
            </w:r>
            <w:r>
              <w:rPr>
                <w:i/>
                <w:color w:val="000000"/>
                <w:sz w:val="20"/>
              </w:rPr>
              <w:t xml:space="preserve">Studies</w:t>
            </w:r>
            <w:r>
              <w:rPr>
                <w:i/>
                <w:color w:val="000000"/>
                <w:sz w:val="20"/>
              </w:rPr>
              <w:t xml:space="preserve"> in </w:t>
            </w:r>
            <w:r>
              <w:rPr>
                <w:i/>
                <w:color w:val="000000"/>
                <w:sz w:val="20"/>
              </w:rPr>
              <w:t xml:space="preserve">Psychoanalysis</w:t>
            </w:r>
            <w:r>
              <w:rPr>
                <w:i/>
                <w:color w:val="000000"/>
                <w:sz w:val="20"/>
              </w:rPr>
              <w:t xml:space="preserve"> and Culture, 48</w:t>
            </w:r>
            <w:r>
              <w:rPr>
                <w:color w:val="000000"/>
                <w:sz w:val="20"/>
              </w:rPr>
              <w:t xml:space="preserve">, 119-133.</w:t>
            </w:r>
            <w:r/>
          </w:p>
          <w:p w14:paraId="05BB294A" w14:textId="77777777">
            <w:pPr>
              <w:pBdr>
                <w:top w:val="none" w:color="000000" w:sz="4" w:space="0"/>
                <w:left w:val="none" w:color="000000" w:sz="4" w:space="0"/>
                <w:bottom w:val="none" w:color="000000" w:sz="4" w:space="0"/>
                <w:right w:val="none" w:color="000000" w:sz="4" w:space="0"/>
              </w:pBdr>
              <w:spacing/>
              <w:ind w:hanging="567" w:left="567"/>
              <w:rPr/>
            </w:pPr>
            <w:r>
              <w:rPr>
                <w:color w:val="000000"/>
                <w:sz w:val="20"/>
              </w:rPr>
              <w:t xml:space="preserve">Caplan Paula Joan, 2005, « </w:t>
            </w:r>
            <w:r>
              <w:rPr>
                <w:color w:val="000000"/>
                <w:sz w:val="20"/>
              </w:rPr>
              <w:t xml:space="preserve">Ambiguity</w:t>
            </w:r>
            <w:r>
              <w:rPr>
                <w:color w:val="000000"/>
                <w:sz w:val="20"/>
              </w:rPr>
              <w:t xml:space="preserve">, </w:t>
            </w:r>
            <w:r>
              <w:rPr>
                <w:color w:val="000000"/>
                <w:sz w:val="20"/>
              </w:rPr>
              <w:t xml:space="preserve">Powerlessness</w:t>
            </w:r>
            <w:r>
              <w:rPr>
                <w:color w:val="000000"/>
                <w:sz w:val="20"/>
              </w:rPr>
              <w:t xml:space="preserve">, and the </w:t>
            </w:r>
            <w:r>
              <w:rPr>
                <w:color w:val="000000"/>
                <w:sz w:val="20"/>
              </w:rPr>
              <w:t xml:space="preserve">Psychologizing</w:t>
            </w:r>
            <w:r>
              <w:rPr>
                <w:color w:val="000000"/>
                <w:sz w:val="20"/>
              </w:rPr>
              <w:t xml:space="preserve"> of Trauma ». </w:t>
            </w:r>
            <w:r>
              <w:rPr>
                <w:i/>
                <w:color w:val="000000"/>
                <w:sz w:val="20"/>
              </w:rPr>
              <w:t xml:space="preserve">Journal of Trauma Practice, 5</w:t>
            </w:r>
            <w:r>
              <w:rPr>
                <w:color w:val="000000"/>
                <w:sz w:val="20"/>
              </w:rPr>
              <w:t xml:space="preserve">(1), 5-24.</w:t>
            </w:r>
            <w:r/>
          </w:p>
          <w:p w14:paraId="782BB786" w14:textId="77777777">
            <w:pPr>
              <w:pBdr>
                <w:top w:val="none" w:color="000000" w:sz="4" w:space="0"/>
                <w:left w:val="none" w:color="000000" w:sz="4" w:space="0"/>
                <w:bottom w:val="none" w:color="000000" w:sz="4" w:space="0"/>
                <w:right w:val="none" w:color="000000" w:sz="4" w:space="0"/>
              </w:pBdr>
              <w:spacing/>
              <w:ind w:hanging="567" w:left="567"/>
              <w:rPr/>
            </w:pPr>
            <w:r>
              <w:rPr>
                <w:color w:val="000000"/>
                <w:sz w:val="20"/>
              </w:rPr>
              <w:t xml:space="preserve">Colvonen</w:t>
            </w:r>
            <w:r>
              <w:rPr>
                <w:color w:val="000000"/>
                <w:sz w:val="20"/>
              </w:rPr>
              <w:t xml:space="preserve">, P. J., </w:t>
            </w:r>
            <w:r>
              <w:rPr>
                <w:color w:val="000000"/>
                <w:sz w:val="20"/>
              </w:rPr>
              <w:t xml:space="preserve">Straus</w:t>
            </w:r>
            <w:r>
              <w:rPr>
                <w:color w:val="000000"/>
                <w:sz w:val="20"/>
              </w:rPr>
              <w:t xml:space="preserve">, L. D., Acheson, D., &amp; </w:t>
            </w:r>
            <w:r>
              <w:rPr>
                <w:color w:val="000000"/>
                <w:sz w:val="20"/>
              </w:rPr>
              <w:t xml:space="preserve">Gehrman</w:t>
            </w:r>
            <w:r>
              <w:rPr>
                <w:color w:val="000000"/>
                <w:sz w:val="20"/>
              </w:rPr>
              <w:t xml:space="preserve">, P. (2019). A </w:t>
            </w:r>
            <w:r>
              <w:rPr>
                <w:color w:val="000000"/>
                <w:sz w:val="20"/>
              </w:rPr>
              <w:t xml:space="preserve">review</w:t>
            </w:r>
            <w:r>
              <w:rPr>
                <w:color w:val="000000"/>
                <w:sz w:val="20"/>
              </w:rPr>
              <w:t xml:space="preserve"> of the </w:t>
            </w:r>
            <w:r>
              <w:rPr>
                <w:color w:val="000000"/>
                <w:sz w:val="20"/>
              </w:rPr>
              <w:t xml:space="preserve">relationship</w:t>
            </w:r>
            <w:r>
              <w:rPr>
                <w:color w:val="000000"/>
                <w:sz w:val="20"/>
              </w:rPr>
              <w:t xml:space="preserve"> </w:t>
            </w:r>
            <w:r>
              <w:rPr>
                <w:color w:val="000000"/>
                <w:sz w:val="20"/>
              </w:rPr>
              <w:t xml:space="preserve">between</w:t>
            </w:r>
            <w:r>
              <w:rPr>
                <w:color w:val="000000"/>
                <w:sz w:val="20"/>
              </w:rPr>
              <w:t xml:space="preserve"> </w:t>
            </w:r>
            <w:r>
              <w:rPr>
                <w:color w:val="000000"/>
                <w:sz w:val="20"/>
              </w:rPr>
              <w:t xml:space="preserve">emotional</w:t>
            </w:r>
            <w:r>
              <w:rPr>
                <w:color w:val="000000"/>
                <w:sz w:val="20"/>
              </w:rPr>
              <w:t xml:space="preserve"> </w:t>
            </w:r>
            <w:r>
              <w:rPr>
                <w:color w:val="000000"/>
                <w:sz w:val="20"/>
              </w:rPr>
              <w:t xml:space="preserve">learning</w:t>
            </w:r>
            <w:r>
              <w:rPr>
                <w:color w:val="000000"/>
                <w:sz w:val="20"/>
              </w:rPr>
              <w:t xml:space="preserve"> and memory, </w:t>
            </w:r>
            <w:r>
              <w:rPr>
                <w:color w:val="000000"/>
                <w:sz w:val="20"/>
              </w:rPr>
              <w:t xml:space="preserve">sleep</w:t>
            </w:r>
            <w:r>
              <w:rPr>
                <w:color w:val="000000"/>
                <w:sz w:val="20"/>
              </w:rPr>
              <w:t xml:space="preserve">, and PTSD. </w:t>
            </w:r>
            <w:r>
              <w:rPr>
                <w:i/>
                <w:color w:val="000000"/>
                <w:sz w:val="20"/>
              </w:rPr>
              <w:t xml:space="preserve">Current</w:t>
            </w:r>
            <w:r>
              <w:rPr>
                <w:i/>
                <w:color w:val="000000"/>
                <w:sz w:val="20"/>
              </w:rPr>
              <w:t xml:space="preserve"> </w:t>
            </w:r>
            <w:r>
              <w:rPr>
                <w:i/>
                <w:color w:val="000000"/>
                <w:sz w:val="20"/>
              </w:rPr>
              <w:t xml:space="preserve">Psychiatry</w:t>
            </w:r>
            <w:r>
              <w:rPr>
                <w:i/>
                <w:color w:val="000000"/>
                <w:sz w:val="20"/>
              </w:rPr>
              <w:t xml:space="preserve"> Reports</w:t>
            </w:r>
            <w:r>
              <w:rPr>
                <w:color w:val="000000"/>
                <w:sz w:val="20"/>
              </w:rPr>
              <w:t xml:space="preserve">, </w:t>
            </w:r>
            <w:r>
              <w:rPr>
                <w:i/>
                <w:color w:val="000000"/>
                <w:sz w:val="20"/>
              </w:rPr>
              <w:t xml:space="preserve">21</w:t>
            </w:r>
            <w:r>
              <w:rPr>
                <w:color w:val="000000"/>
                <w:sz w:val="20"/>
              </w:rPr>
              <w:t xml:space="preserve">, 1-11.</w:t>
            </w:r>
            <w:r/>
          </w:p>
          <w:p w14:paraId="402C7FFF" w14:textId="77777777">
            <w:pPr>
              <w:pBdr>
                <w:top w:val="none" w:color="000000" w:sz="4" w:space="0"/>
                <w:left w:val="none" w:color="000000" w:sz="4" w:space="0"/>
                <w:bottom w:val="none" w:color="000000" w:sz="4" w:space="0"/>
                <w:right w:val="none" w:color="000000" w:sz="4" w:space="0"/>
              </w:pBdr>
              <w:spacing/>
              <w:ind w:hanging="567" w:left="567"/>
              <w:rPr/>
            </w:pPr>
            <w:r>
              <w:rPr>
                <w:color w:val="000000"/>
                <w:sz w:val="20"/>
              </w:rPr>
              <w:t xml:space="preserve">Desmedt</w:t>
            </w:r>
            <w:r>
              <w:rPr>
                <w:color w:val="000000"/>
                <w:sz w:val="20"/>
              </w:rPr>
              <w:t xml:space="preserve">, A., </w:t>
            </w:r>
            <w:r>
              <w:rPr>
                <w:color w:val="000000"/>
                <w:sz w:val="20"/>
              </w:rPr>
              <w:t xml:space="preserve">Marighetto</w:t>
            </w:r>
            <w:r>
              <w:rPr>
                <w:color w:val="000000"/>
                <w:sz w:val="20"/>
              </w:rPr>
              <w:t xml:space="preserve">, A., &amp; Piazza, P. V. (2015). </w:t>
            </w:r>
            <w:r>
              <w:rPr>
                <w:color w:val="000000"/>
                <w:sz w:val="20"/>
              </w:rPr>
              <w:t xml:space="preserve">Abnormal</w:t>
            </w:r>
            <w:r>
              <w:rPr>
                <w:color w:val="000000"/>
                <w:sz w:val="20"/>
              </w:rPr>
              <w:t xml:space="preserve"> </w:t>
            </w:r>
            <w:r>
              <w:rPr>
                <w:color w:val="000000"/>
                <w:sz w:val="20"/>
              </w:rPr>
              <w:t xml:space="preserve">fear</w:t>
            </w:r>
            <w:r>
              <w:rPr>
                <w:color w:val="000000"/>
                <w:sz w:val="20"/>
              </w:rPr>
              <w:t xml:space="preserve"> memory as </w:t>
            </w:r>
            <w:r>
              <w:rPr>
                <w:color w:val="000000"/>
                <w:sz w:val="20"/>
              </w:rPr>
              <w:t xml:space="preserve">a</w:t>
            </w:r>
            <w:r>
              <w:rPr>
                <w:color w:val="000000"/>
                <w:sz w:val="20"/>
              </w:rPr>
              <w:t xml:space="preserve"> model for </w:t>
            </w:r>
            <w:r>
              <w:rPr>
                <w:color w:val="000000"/>
                <w:sz w:val="20"/>
              </w:rPr>
              <w:t xml:space="preserve">posttraumatic</w:t>
            </w:r>
            <w:r>
              <w:rPr>
                <w:color w:val="000000"/>
                <w:sz w:val="20"/>
              </w:rPr>
              <w:t xml:space="preserve"> stress </w:t>
            </w:r>
            <w:r>
              <w:rPr>
                <w:color w:val="000000"/>
                <w:sz w:val="20"/>
              </w:rPr>
              <w:t xml:space="preserve">disorder</w:t>
            </w:r>
            <w:r>
              <w:rPr>
                <w:color w:val="000000"/>
                <w:sz w:val="20"/>
              </w:rPr>
              <w:t xml:space="preserve">. </w:t>
            </w:r>
            <w:r>
              <w:rPr>
                <w:i/>
                <w:color w:val="000000"/>
                <w:sz w:val="20"/>
              </w:rPr>
              <w:t xml:space="preserve">Biological</w:t>
            </w:r>
            <w:r>
              <w:rPr>
                <w:i/>
                <w:color w:val="000000"/>
                <w:sz w:val="20"/>
              </w:rPr>
              <w:t xml:space="preserve"> </w:t>
            </w:r>
            <w:r>
              <w:rPr>
                <w:i/>
                <w:color w:val="000000"/>
                <w:sz w:val="20"/>
              </w:rPr>
              <w:t xml:space="preserve">psychiatry</w:t>
            </w:r>
            <w:r>
              <w:rPr>
                <w:color w:val="000000"/>
                <w:sz w:val="20"/>
              </w:rPr>
              <w:t xml:space="preserve">, </w:t>
            </w:r>
            <w:r>
              <w:rPr>
                <w:i/>
                <w:color w:val="000000"/>
                <w:sz w:val="20"/>
              </w:rPr>
              <w:t xml:space="preserve">78</w:t>
            </w:r>
            <w:r>
              <w:rPr>
                <w:color w:val="000000"/>
                <w:sz w:val="20"/>
              </w:rPr>
              <w:t xml:space="preserve">(5), 290-297.</w:t>
            </w:r>
            <w:r/>
          </w:p>
          <w:p w14:paraId="06373E45" w14:textId="77777777">
            <w:pPr>
              <w:pBdr>
                <w:top w:val="none" w:color="000000" w:sz="4" w:space="0"/>
                <w:left w:val="none" w:color="000000" w:sz="4" w:space="0"/>
                <w:bottom w:val="none" w:color="000000" w:sz="4" w:space="0"/>
                <w:right w:val="none" w:color="000000" w:sz="4" w:space="0"/>
              </w:pBdr>
              <w:spacing/>
              <w:ind w:hanging="567" w:left="567"/>
              <w:rPr/>
            </w:pPr>
            <w:r>
              <w:rPr>
                <w:color w:val="000000"/>
                <w:sz w:val="20"/>
              </w:rPr>
              <w:t xml:space="preserve">Haaken</w:t>
            </w:r>
            <w:r>
              <w:rPr>
                <w:color w:val="000000"/>
                <w:sz w:val="20"/>
              </w:rPr>
              <w:t xml:space="preserve">, J. (1996). « The </w:t>
            </w:r>
            <w:r>
              <w:rPr>
                <w:color w:val="000000"/>
                <w:sz w:val="20"/>
              </w:rPr>
              <w:t xml:space="preserve">Recovery</w:t>
            </w:r>
            <w:r>
              <w:rPr>
                <w:color w:val="000000"/>
                <w:sz w:val="20"/>
              </w:rPr>
              <w:t xml:space="preserve"> of Memory, Fantasy, and </w:t>
            </w:r>
            <w:r>
              <w:rPr>
                <w:color w:val="000000"/>
                <w:sz w:val="20"/>
              </w:rPr>
              <w:t xml:space="preserve">Desire:</w:t>
            </w:r>
            <w:r>
              <w:rPr>
                <w:color w:val="000000"/>
                <w:sz w:val="20"/>
              </w:rPr>
              <w:t xml:space="preserve"> </w:t>
            </w:r>
            <w:r>
              <w:rPr>
                <w:color w:val="000000"/>
                <w:sz w:val="20"/>
              </w:rPr>
              <w:t xml:space="preserve">Feminist</w:t>
            </w:r>
            <w:r>
              <w:rPr>
                <w:color w:val="000000"/>
                <w:sz w:val="20"/>
              </w:rPr>
              <w:t xml:space="preserve"> </w:t>
            </w:r>
            <w:r>
              <w:rPr>
                <w:color w:val="000000"/>
                <w:sz w:val="20"/>
              </w:rPr>
              <w:t xml:space="preserve">Approaches</w:t>
            </w:r>
            <w:r>
              <w:rPr>
                <w:color w:val="000000"/>
                <w:sz w:val="20"/>
              </w:rPr>
              <w:t xml:space="preserve"> to </w:t>
            </w:r>
            <w:r>
              <w:rPr>
                <w:color w:val="000000"/>
                <w:sz w:val="20"/>
              </w:rPr>
              <w:t xml:space="preserve">Sexual</w:t>
            </w:r>
            <w:r>
              <w:rPr>
                <w:color w:val="000000"/>
                <w:sz w:val="20"/>
              </w:rPr>
              <w:t xml:space="preserve"> Abuse and </w:t>
            </w:r>
            <w:r>
              <w:rPr>
                <w:color w:val="000000"/>
                <w:sz w:val="20"/>
              </w:rPr>
              <w:t xml:space="preserve">Psychic</w:t>
            </w:r>
            <w:r>
              <w:rPr>
                <w:color w:val="000000"/>
                <w:sz w:val="20"/>
              </w:rPr>
              <w:t xml:space="preserve"> Trauma ». </w:t>
            </w:r>
            <w:r>
              <w:rPr>
                <w:i/>
                <w:color w:val="000000"/>
                <w:sz w:val="20"/>
              </w:rPr>
              <w:t xml:space="preserve">Signs</w:t>
            </w:r>
            <w:r>
              <w:rPr>
                <w:i/>
                <w:color w:val="000000"/>
                <w:sz w:val="20"/>
              </w:rPr>
              <w:t xml:space="preserve">, 21</w:t>
            </w:r>
            <w:r>
              <w:rPr>
                <w:color w:val="000000"/>
                <w:sz w:val="20"/>
              </w:rPr>
              <w:t xml:space="preserve">(4), 1069-1094.</w:t>
            </w:r>
            <w:r/>
          </w:p>
          <w:p w14:paraId="105C8E5F" w14:textId="77777777">
            <w:pPr>
              <w:pBdr>
                <w:top w:val="none" w:color="000000" w:sz="4" w:space="0"/>
                <w:left w:val="none" w:color="000000" w:sz="4" w:space="0"/>
                <w:bottom w:val="none" w:color="000000" w:sz="4" w:space="0"/>
                <w:right w:val="none" w:color="000000" w:sz="4" w:space="0"/>
              </w:pBdr>
              <w:spacing/>
              <w:ind w:hanging="567" w:left="567"/>
              <w:rPr/>
            </w:pPr>
            <w:r>
              <w:rPr>
                <w:color w:val="000000"/>
                <w:sz w:val="20"/>
              </w:rPr>
              <w:t xml:space="preserve">Herman, J. L. (2023). </w:t>
            </w:r>
            <w:r>
              <w:rPr>
                <w:i/>
                <w:color w:val="000000"/>
                <w:sz w:val="20"/>
              </w:rPr>
              <w:t xml:space="preserve">Reconstruction après les traumatismes. De la maltraitance domestique aux violences sociales</w:t>
            </w:r>
            <w:r>
              <w:rPr>
                <w:color w:val="000000"/>
                <w:sz w:val="20"/>
              </w:rPr>
              <w:t xml:space="preserve">. Dunod : </w:t>
            </w:r>
            <w:r>
              <w:rPr>
                <w:color w:val="000000"/>
                <w:sz w:val="20"/>
              </w:rPr>
              <w:t xml:space="preserve">Interéditions</w:t>
            </w:r>
            <w:r>
              <w:rPr>
                <w:color w:val="000000"/>
                <w:sz w:val="20"/>
              </w:rPr>
              <w:t xml:space="preserve">. </w:t>
            </w:r>
            <w:r/>
          </w:p>
          <w:p w14:paraId="49CE99EB" w14:textId="77777777">
            <w:pPr>
              <w:pBdr>
                <w:top w:val="none" w:color="000000" w:sz="4" w:space="0"/>
                <w:left w:val="none" w:color="000000" w:sz="4" w:space="0"/>
                <w:bottom w:val="none" w:color="000000" w:sz="4" w:space="0"/>
                <w:right w:val="none" w:color="000000" w:sz="4" w:space="0"/>
              </w:pBdr>
              <w:spacing/>
              <w:ind w:hanging="567" w:left="567"/>
              <w:rPr/>
            </w:pPr>
            <w:r>
              <w:rPr>
                <w:color w:val="000000"/>
                <w:sz w:val="20"/>
              </w:rPr>
              <w:t xml:space="preserve">McLean, C. P., &amp; Foa, E. B. (2017). Emotions and </w:t>
            </w:r>
            <w:r>
              <w:rPr>
                <w:color w:val="000000"/>
                <w:sz w:val="20"/>
              </w:rPr>
              <w:t xml:space="preserve">emotion</w:t>
            </w:r>
            <w:r>
              <w:rPr>
                <w:color w:val="000000"/>
                <w:sz w:val="20"/>
              </w:rPr>
              <w:t xml:space="preserve"> </w:t>
            </w:r>
            <w:r>
              <w:rPr>
                <w:color w:val="000000"/>
                <w:sz w:val="20"/>
              </w:rPr>
              <w:t xml:space="preserve">regulation</w:t>
            </w:r>
            <w:r>
              <w:rPr>
                <w:color w:val="000000"/>
                <w:sz w:val="20"/>
              </w:rPr>
              <w:t xml:space="preserve"> in </w:t>
            </w:r>
            <w:r>
              <w:rPr>
                <w:color w:val="000000"/>
                <w:sz w:val="20"/>
              </w:rPr>
              <w:t xml:space="preserve">posttraumatic</w:t>
            </w:r>
            <w:r>
              <w:rPr>
                <w:color w:val="000000"/>
                <w:sz w:val="20"/>
              </w:rPr>
              <w:t xml:space="preserve"> stress </w:t>
            </w:r>
            <w:r>
              <w:rPr>
                <w:color w:val="000000"/>
                <w:sz w:val="20"/>
              </w:rPr>
              <w:t xml:space="preserve">disorder</w:t>
            </w:r>
            <w:r>
              <w:rPr>
                <w:color w:val="000000"/>
                <w:sz w:val="20"/>
              </w:rPr>
              <w:t xml:space="preserve">. </w:t>
            </w:r>
            <w:r>
              <w:rPr>
                <w:color w:val="000000"/>
                <w:sz w:val="20"/>
              </w:rPr>
              <w:t xml:space="preserve">Current</w:t>
            </w:r>
            <w:r>
              <w:rPr>
                <w:color w:val="000000"/>
                <w:sz w:val="20"/>
              </w:rPr>
              <w:t xml:space="preserve"> Opinion in Psychology, 14, 72–77. </w:t>
            </w:r>
            <w:hyperlink r:id="rId19" w:tooltip="https://doi.org/10.1016/j.copsyc.2016.10.006" w:history="1">
              <w:r>
                <w:rPr>
                  <w:rStyle w:val="1196"/>
                  <w:color w:val="0000ee"/>
                  <w:sz w:val="20"/>
                </w:rPr>
                <w:t xml:space="preserve">https://doi.org/10.1016/j.copsyc.2016.10.006</w:t>
              </w:r>
            </w:hyperlink>
            <w:r/>
            <w:r/>
          </w:p>
          <w:p w14:paraId="15F3AA2F" w14:textId="77777777">
            <w:pPr>
              <w:pBdr>
                <w:top w:val="none" w:color="000000" w:sz="4" w:space="0"/>
                <w:left w:val="none" w:color="000000" w:sz="4" w:space="0"/>
                <w:bottom w:val="none" w:color="000000" w:sz="4" w:space="0"/>
                <w:right w:val="none" w:color="000000" w:sz="4" w:space="0"/>
              </w:pBdr>
              <w:spacing/>
              <w:ind w:hanging="567" w:left="567"/>
              <w:rPr/>
            </w:pPr>
            <w:r>
              <w:rPr>
                <w:color w:val="000000"/>
                <w:sz w:val="20"/>
              </w:rPr>
              <w:t xml:space="preserve">Lelaurain</w:t>
            </w:r>
            <w:r>
              <w:rPr>
                <w:color w:val="000000"/>
                <w:sz w:val="20"/>
              </w:rPr>
              <w:t xml:space="preserve">, S. &amp; Fonte., D. (2022</w:t>
            </w:r>
            <w:r>
              <w:rPr>
                <w:i/>
                <w:color w:val="000000"/>
                <w:sz w:val="20"/>
              </w:rPr>
              <w:t xml:space="preserve">). La violence conjugale, entre vécu et légitimation patriarcale. Contribution pour une psychologie féministe</w:t>
            </w:r>
            <w:r>
              <w:rPr>
                <w:color w:val="000000"/>
                <w:sz w:val="20"/>
              </w:rPr>
              <w:t xml:space="preserve">. Mardaga. </w:t>
            </w:r>
            <w:r/>
          </w:p>
          <w:p w14:paraId="3FD4906F" w14:textId="77777777">
            <w:pPr>
              <w:pBdr>
                <w:top w:val="none" w:color="000000" w:sz="4" w:space="0"/>
                <w:left w:val="none" w:color="000000" w:sz="4" w:space="0"/>
                <w:bottom w:val="none" w:color="000000" w:sz="4" w:space="0"/>
                <w:right w:val="none" w:color="000000" w:sz="4" w:space="0"/>
              </w:pBdr>
              <w:spacing/>
              <w:ind w:hanging="567" w:left="567"/>
              <w:rPr/>
            </w:pPr>
            <w:r>
              <w:rPr>
                <w:color w:val="000000"/>
                <w:sz w:val="20"/>
              </w:rPr>
              <w:t xml:space="preserve">Pace-Schott, E. F., Germain, A., &amp; </w:t>
            </w:r>
            <w:r>
              <w:rPr>
                <w:color w:val="000000"/>
                <w:sz w:val="20"/>
              </w:rPr>
              <w:t xml:space="preserve">Milad</w:t>
            </w:r>
            <w:r>
              <w:rPr>
                <w:color w:val="000000"/>
                <w:sz w:val="20"/>
              </w:rPr>
              <w:t xml:space="preserve">, M. R. (2015). </w:t>
            </w:r>
            <w:r>
              <w:rPr>
                <w:color w:val="000000"/>
                <w:sz w:val="20"/>
              </w:rPr>
              <w:t xml:space="preserve">Sleep</w:t>
            </w:r>
            <w:r>
              <w:rPr>
                <w:color w:val="000000"/>
                <w:sz w:val="20"/>
              </w:rPr>
              <w:t xml:space="preserve"> and REM </w:t>
            </w:r>
            <w:r>
              <w:rPr>
                <w:color w:val="000000"/>
                <w:sz w:val="20"/>
              </w:rPr>
              <w:t xml:space="preserve">sleep</w:t>
            </w:r>
            <w:r>
              <w:rPr>
                <w:color w:val="000000"/>
                <w:sz w:val="20"/>
              </w:rPr>
              <w:t xml:space="preserve"> </w:t>
            </w:r>
            <w:r>
              <w:rPr>
                <w:color w:val="000000"/>
                <w:sz w:val="20"/>
              </w:rPr>
              <w:t xml:space="preserve">disturbance</w:t>
            </w:r>
            <w:r>
              <w:rPr>
                <w:color w:val="000000"/>
                <w:sz w:val="20"/>
              </w:rPr>
              <w:t xml:space="preserve"> in the </w:t>
            </w:r>
            <w:r>
              <w:rPr>
                <w:color w:val="000000"/>
                <w:sz w:val="20"/>
              </w:rPr>
              <w:t xml:space="preserve">pathophysiology</w:t>
            </w:r>
            <w:r>
              <w:rPr>
                <w:color w:val="000000"/>
                <w:sz w:val="20"/>
              </w:rPr>
              <w:t xml:space="preserve"> of </w:t>
            </w:r>
            <w:r>
              <w:rPr>
                <w:color w:val="000000"/>
                <w:sz w:val="20"/>
              </w:rPr>
              <w:t xml:space="preserve">PTSD:</w:t>
            </w:r>
            <w:r>
              <w:rPr>
                <w:color w:val="000000"/>
                <w:sz w:val="20"/>
              </w:rPr>
              <w:t xml:space="preserve"> the </w:t>
            </w:r>
            <w:r>
              <w:rPr>
                <w:color w:val="000000"/>
                <w:sz w:val="20"/>
              </w:rPr>
              <w:t xml:space="preserve">role</w:t>
            </w:r>
            <w:r>
              <w:rPr>
                <w:color w:val="000000"/>
                <w:sz w:val="20"/>
              </w:rPr>
              <w:t xml:space="preserve"> of extinction memory. </w:t>
            </w:r>
            <w:r>
              <w:rPr>
                <w:i/>
                <w:color w:val="000000"/>
                <w:sz w:val="20"/>
              </w:rPr>
              <w:t xml:space="preserve">Biology</w:t>
            </w:r>
            <w:r>
              <w:rPr>
                <w:i/>
                <w:color w:val="000000"/>
                <w:sz w:val="20"/>
              </w:rPr>
              <w:t xml:space="preserve"> of </w:t>
            </w:r>
            <w:r>
              <w:rPr>
                <w:i/>
                <w:color w:val="000000"/>
                <w:sz w:val="20"/>
              </w:rPr>
              <w:t xml:space="preserve">mood</w:t>
            </w:r>
            <w:r>
              <w:rPr>
                <w:i/>
                <w:color w:val="000000"/>
                <w:sz w:val="20"/>
              </w:rPr>
              <w:t xml:space="preserve"> &amp; </w:t>
            </w:r>
            <w:r>
              <w:rPr>
                <w:i/>
                <w:color w:val="000000"/>
                <w:sz w:val="20"/>
              </w:rPr>
              <w:t xml:space="preserve">anxiety</w:t>
            </w:r>
            <w:r>
              <w:rPr>
                <w:i/>
                <w:color w:val="000000"/>
                <w:sz w:val="20"/>
              </w:rPr>
              <w:t xml:space="preserve"> </w:t>
            </w:r>
            <w:r>
              <w:rPr>
                <w:i/>
                <w:color w:val="000000"/>
                <w:sz w:val="20"/>
              </w:rPr>
              <w:t xml:space="preserve">disorders</w:t>
            </w:r>
            <w:r>
              <w:rPr>
                <w:color w:val="000000"/>
                <w:sz w:val="20"/>
              </w:rPr>
              <w:t xml:space="preserve">, </w:t>
            </w:r>
            <w:r>
              <w:rPr>
                <w:i/>
                <w:color w:val="000000"/>
                <w:sz w:val="20"/>
              </w:rPr>
              <w:t xml:space="preserve">5</w:t>
            </w:r>
            <w:r>
              <w:rPr>
                <w:color w:val="000000"/>
                <w:sz w:val="20"/>
              </w:rPr>
              <w:t xml:space="preserve">, 1-19.</w:t>
            </w:r>
            <w:r/>
          </w:p>
          <w:p w14:paraId="58B5D77A" w14:textId="77777777">
            <w:pPr>
              <w:pBdr>
                <w:top w:val="none" w:color="000000" w:sz="4" w:space="0"/>
                <w:left w:val="none" w:color="000000" w:sz="4" w:space="0"/>
                <w:bottom w:val="none" w:color="000000" w:sz="4" w:space="0"/>
                <w:right w:val="none" w:color="000000" w:sz="4" w:space="0"/>
              </w:pBdr>
              <w:spacing/>
              <w:ind w:hanging="567" w:left="567"/>
              <w:rPr/>
            </w:pPr>
            <w:r>
              <w:rPr>
                <w:color w:val="000000"/>
                <w:sz w:val="20"/>
              </w:rPr>
              <w:t xml:space="preserve">Seligowski</w:t>
            </w:r>
            <w:r>
              <w:rPr>
                <w:color w:val="000000"/>
                <w:sz w:val="20"/>
              </w:rPr>
              <w:t xml:space="preserve">, A. V., Lee, D. J., Bardeen, J. R., &amp; </w:t>
            </w:r>
            <w:r>
              <w:rPr>
                <w:color w:val="000000"/>
                <w:sz w:val="20"/>
              </w:rPr>
              <w:t xml:space="preserve">Orcutt</w:t>
            </w:r>
            <w:r>
              <w:rPr>
                <w:color w:val="000000"/>
                <w:sz w:val="20"/>
              </w:rPr>
              <w:t xml:space="preserve">, H. K. (2015). Emotion </w:t>
            </w:r>
            <w:r>
              <w:rPr>
                <w:color w:val="000000"/>
                <w:sz w:val="20"/>
              </w:rPr>
              <w:t xml:space="preserve">regulation</w:t>
            </w:r>
            <w:r>
              <w:rPr>
                <w:color w:val="000000"/>
                <w:sz w:val="20"/>
              </w:rPr>
              <w:t xml:space="preserve"> and </w:t>
            </w:r>
            <w:r>
              <w:rPr>
                <w:color w:val="000000"/>
                <w:sz w:val="20"/>
              </w:rPr>
              <w:t xml:space="preserve">posttraumatic</w:t>
            </w:r>
            <w:r>
              <w:rPr>
                <w:color w:val="000000"/>
                <w:sz w:val="20"/>
              </w:rPr>
              <w:t xml:space="preserve"> stress </w:t>
            </w:r>
            <w:r>
              <w:rPr>
                <w:color w:val="000000"/>
                <w:sz w:val="20"/>
              </w:rPr>
              <w:t xml:space="preserve">symptoms</w:t>
            </w:r>
            <w:r>
              <w:rPr>
                <w:color w:val="000000"/>
                <w:sz w:val="20"/>
              </w:rPr>
              <w:t xml:space="preserve">:</w:t>
            </w:r>
            <w:r>
              <w:rPr>
                <w:color w:val="000000"/>
                <w:sz w:val="20"/>
              </w:rPr>
              <w:t xml:space="preserve"> A </w:t>
            </w:r>
            <w:r>
              <w:rPr>
                <w:color w:val="000000"/>
                <w:sz w:val="20"/>
              </w:rPr>
              <w:t xml:space="preserve">meta-analysis.</w:t>
            </w:r>
            <w:r>
              <w:rPr>
                <w:i/>
                <w:color w:val="000000"/>
                <w:sz w:val="20"/>
              </w:rPr>
              <w:t xml:space="preserve">Cognitive</w:t>
            </w:r>
            <w:r>
              <w:rPr>
                <w:i/>
                <w:color w:val="000000"/>
                <w:sz w:val="20"/>
              </w:rPr>
              <w:t xml:space="preserve"> </w:t>
            </w:r>
            <w:r>
              <w:rPr>
                <w:i/>
                <w:color w:val="000000"/>
                <w:sz w:val="20"/>
              </w:rPr>
              <w:t xml:space="preserve">Behaviour</w:t>
            </w:r>
            <w:r>
              <w:rPr>
                <w:i/>
                <w:color w:val="000000"/>
                <w:sz w:val="20"/>
              </w:rPr>
              <w:t xml:space="preserve"> </w:t>
            </w:r>
            <w:r>
              <w:rPr>
                <w:i/>
                <w:color w:val="000000"/>
                <w:sz w:val="20"/>
              </w:rPr>
              <w:t xml:space="preserve">Therapy</w:t>
            </w:r>
            <w:r>
              <w:rPr>
                <w:color w:val="000000"/>
                <w:sz w:val="20"/>
              </w:rPr>
              <w:t xml:space="preserve">, </w:t>
            </w:r>
            <w:r>
              <w:rPr>
                <w:i/>
                <w:color w:val="000000"/>
                <w:sz w:val="20"/>
              </w:rPr>
              <w:t xml:space="preserve">44</w:t>
            </w:r>
            <w:r>
              <w:rPr>
                <w:color w:val="000000"/>
                <w:sz w:val="20"/>
              </w:rPr>
              <w:t xml:space="preserve">(2), 87–102. </w:t>
            </w:r>
            <w:hyperlink r:id="rId20" w:tooltip="https://doi.org/10.1080/16506073.2014.980753" w:history="1">
              <w:r>
                <w:rPr>
                  <w:rStyle w:val="1196"/>
                  <w:color w:val="0000ee"/>
                  <w:sz w:val="20"/>
                </w:rPr>
                <w:t xml:space="preserve">https://doi.org/10.1080/16506073.2014.980753</w:t>
              </w:r>
            </w:hyperlink>
            <w:r/>
            <w:r/>
          </w:p>
          <w:p w14:paraId="53184567" w14:textId="77777777">
            <w:pPr>
              <w:pBdr>
                <w:top w:val="none" w:color="000000" w:sz="4" w:space="0"/>
                <w:left w:val="none" w:color="000000" w:sz="4" w:space="0"/>
                <w:bottom w:val="none" w:color="000000" w:sz="4" w:space="0"/>
                <w:right w:val="none" w:color="000000" w:sz="4" w:space="0"/>
              </w:pBdr>
              <w:spacing/>
              <w:ind w:hanging="567" w:left="567"/>
              <w:rPr/>
            </w:pPr>
            <w:r>
              <w:rPr>
                <w:color w:val="000000"/>
                <w:sz w:val="20"/>
              </w:rPr>
              <w:t xml:space="preserve">van</w:t>
            </w:r>
            <w:r>
              <w:rPr>
                <w:color w:val="000000"/>
                <w:sz w:val="20"/>
              </w:rPr>
              <w:t xml:space="preserve"> Marle, H. (2015). PTSD as </w:t>
            </w:r>
            <w:r>
              <w:rPr>
                <w:color w:val="000000"/>
                <w:sz w:val="20"/>
              </w:rPr>
              <w:t xml:space="preserve">a</w:t>
            </w:r>
            <w:r>
              <w:rPr>
                <w:color w:val="000000"/>
                <w:sz w:val="20"/>
              </w:rPr>
              <w:t xml:space="preserve"> memory </w:t>
            </w:r>
            <w:r>
              <w:rPr>
                <w:color w:val="000000"/>
                <w:sz w:val="20"/>
              </w:rPr>
              <w:t xml:space="preserve">disorder</w:t>
            </w:r>
            <w:r>
              <w:rPr>
                <w:color w:val="000000"/>
                <w:sz w:val="20"/>
              </w:rPr>
              <w:t xml:space="preserve">. </w:t>
            </w:r>
            <w:r>
              <w:rPr>
                <w:i/>
                <w:color w:val="000000"/>
                <w:sz w:val="20"/>
              </w:rPr>
              <w:t xml:space="preserve">European</w:t>
            </w:r>
            <w:r>
              <w:rPr>
                <w:i/>
                <w:color w:val="000000"/>
                <w:sz w:val="20"/>
              </w:rPr>
              <w:t xml:space="preserve"> Journal of </w:t>
            </w:r>
            <w:r>
              <w:rPr>
                <w:i/>
                <w:color w:val="000000"/>
                <w:sz w:val="20"/>
              </w:rPr>
              <w:t xml:space="preserve">Psychotraumatology</w:t>
            </w:r>
            <w:r>
              <w:rPr>
                <w:color w:val="000000"/>
                <w:sz w:val="20"/>
              </w:rPr>
              <w:t xml:space="preserve">, </w:t>
            </w:r>
            <w:r>
              <w:rPr>
                <w:i/>
                <w:color w:val="000000"/>
                <w:sz w:val="20"/>
              </w:rPr>
              <w:t xml:space="preserve">6</w:t>
            </w:r>
            <w:r>
              <w:rPr>
                <w:color w:val="000000"/>
                <w:sz w:val="20"/>
              </w:rPr>
              <w:t xml:space="preserve">(1), 27633.</w:t>
            </w:r>
            <w:r/>
          </w:p>
        </w:tc>
      </w:tr>
      <w:tr>
        <w:trPr/>
        <w:tc>
          <w:tcPr>
            <w:shd w:val="clear" w:color="auto" w:fill="e6e6e6"/>
            <w:tcBorders>
              <w:top w:val="single" w:color="000000" w:sz="4" w:space="0"/>
              <w:left w:val="single" w:color="000000" w:sz="4" w:space="0"/>
              <w:bottom w:val="single" w:color="000000" w:sz="4" w:space="0"/>
            </w:tcBorders>
            <w:tcW w:w="3402" w:type="dxa"/>
          </w:tcPr>
          <w:p w14:paraId="49DC570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2503EBB5"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2E856FAC"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obligatoire</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5019E23D"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560F90F8"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color w:val="000000" w:themeColor="text1"/>
                <w:sz w:val="20"/>
                <w:szCs w:val="20"/>
              </w:rPr>
              <w:t xml:space="preserve">Prérequis recommandé</w:t>
            </w:r>
            <w:r>
              <w:rPr>
                <w:rFonts w:eastAsia="Liberation Sans" w:asciiTheme="majorHAnsi" w:hAnsiTheme="majorHAnsi" w:cstheme="majorHAnsi"/>
                <w:b/>
                <w:color w:val="000000" w:themeColor="text1"/>
                <w:sz w:val="20"/>
                <w:szCs w:val="20"/>
              </w:rPr>
              <w:t xml:space="preserve"> </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2E3965F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color w:val="000000" w:themeColor="text1"/>
                <w:sz w:val="20"/>
                <w:szCs w:val="20"/>
              </w:rPr>
            </w:pPr>
            <w:r>
              <w:rPr>
                <w:rFonts w:ascii="Calibri Light" w:hAnsi="Calibri Light" w:eastAsia="Calibri Light" w:cs="Calibri Light"/>
                <w:color w:val="000000"/>
                <w:sz w:val="20"/>
              </w:rPr>
              <w:t xml:space="preserve">L2 Psychologie</w:t>
            </w:r>
            <w:r>
              <w:rPr>
                <w:rFonts w:eastAsia="Liberation Sans" w:asciiTheme="majorHAnsi" w:hAnsiTheme="majorHAnsi" w:cstheme="majorHAnsi"/>
                <w:color w:val="000000" w:themeColor="text1"/>
                <w:sz w:val="20"/>
                <w:szCs w:val="20"/>
              </w:rPr>
            </w:r>
            <w:r>
              <w:rPr>
                <w:rFonts w:eastAsia="Liberation Sans" w:asciiTheme="majorHAnsi" w:hAnsiTheme="majorHAnsi" w:cstheme="majorHAnsi"/>
                <w:color w:val="000000" w:themeColor="text1"/>
                <w:sz w:val="20"/>
                <w:szCs w:val="20"/>
              </w:rPr>
            </w:r>
          </w:p>
        </w:tc>
      </w:tr>
      <w:tr>
        <w:trPr/>
        <w:tc>
          <w:tcPr>
            <w:shd w:val="clear" w:color="auto" w:fill="e6e6e6"/>
            <w:tcBorders>
              <w:top w:val="single" w:color="000000" w:sz="4" w:space="0"/>
              <w:left w:val="single" w:color="000000" w:sz="4" w:space="0"/>
              <w:bottom w:val="single" w:color="000000" w:sz="4" w:space="0"/>
            </w:tcBorders>
            <w:tcW w:w="3402" w:type="dxa"/>
          </w:tcPr>
          <w:p w14:paraId="0E69962E"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e6e6e6"/>
            <w:tcBorders>
              <w:top w:val="single" w:color="000000" w:sz="4" w:space="0"/>
              <w:left w:val="single" w:color="000000" w:sz="4" w:space="0"/>
              <w:bottom w:val="single" w:color="000000" w:sz="4" w:space="0"/>
              <w:right w:val="single" w:color="000000" w:sz="4" w:space="0"/>
            </w:tcBorders>
            <w:tcW w:w="6236" w:type="dxa"/>
          </w:tcPr>
          <w:p w14:paraId="03B3184A"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r>
      <w:tr>
        <w:trPr/>
        <w:tc>
          <w:tcPr>
            <w:shd w:val="clear" w:color="auto" w:fill="auto"/>
            <w:tcBorders>
              <w:left w:val="single" w:color="000000" w:sz="4" w:space="0"/>
              <w:bottom w:val="single" w:color="000000" w:sz="4" w:space="0"/>
            </w:tcBorders>
            <w:tcW w:w="3402" w:type="dxa"/>
          </w:tcPr>
          <w:p w14:paraId="0255FD81"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b/>
                <w:color w:val="000000" w:themeColor="text1"/>
                <w:sz w:val="20"/>
                <w:szCs w:val="20"/>
              </w:rPr>
            </w:pPr>
            <w:r>
              <w:rPr>
                <w:rFonts w:eastAsia="Liberation Sans" w:asciiTheme="majorHAnsi" w:hAnsiTheme="majorHAnsi" w:cstheme="majorHAnsi"/>
                <w:b/>
                <w:color w:val="000000" w:themeColor="text1"/>
                <w:sz w:val="20"/>
                <w:szCs w:val="20"/>
              </w:rPr>
              <w:t xml:space="preserve">Mode de contrôle des connaissances</w:t>
            </w:r>
            <w:r>
              <w:rPr>
                <w:rFonts w:eastAsia="Liberation Sans" w:asciiTheme="majorHAnsi" w:hAnsiTheme="majorHAnsi" w:cstheme="majorHAnsi"/>
                <w:b/>
                <w:color w:val="000000" w:themeColor="text1"/>
                <w:sz w:val="20"/>
                <w:szCs w:val="20"/>
              </w:rPr>
            </w:r>
            <w:r>
              <w:rPr>
                <w:rFonts w:eastAsia="Liberation Sans" w:asciiTheme="majorHAnsi" w:hAnsiTheme="majorHAnsi" w:cstheme="majorHAnsi"/>
                <w:b/>
                <w:color w:val="000000" w:themeColor="text1"/>
                <w:sz w:val="20"/>
                <w:szCs w:val="20"/>
              </w:rPr>
            </w:r>
          </w:p>
        </w:tc>
        <w:tc>
          <w:tcPr>
            <w:shd w:val="clear" w:color="auto" w:fill="auto"/>
            <w:tcBorders>
              <w:left w:val="single" w:color="000000" w:sz="4" w:space="0"/>
              <w:bottom w:val="single" w:color="000000" w:sz="4" w:space="0"/>
              <w:right w:val="single" w:color="000000" w:sz="4" w:space="0"/>
            </w:tcBorders>
            <w:tcW w:w="6236" w:type="dxa"/>
          </w:tcPr>
          <w:p w14:paraId="37EAF037" w14:textId="77777777">
            <w:pPr>
              <w:pBdr>
                <w:top w:val="none" w:color="000000" w:sz="4" w:space="0"/>
                <w:left w:val="none" w:color="000000" w:sz="4" w:space="0"/>
                <w:bottom w:val="none" w:color="000000" w:sz="4" w:space="0"/>
                <w:right w:val="none" w:color="000000" w:sz="4" w:space="0"/>
                <w:between w:val="none" w:color="000000" w:sz="4" w:space="0"/>
              </w:pBdr>
              <w:spacing/>
              <w:ind w:firstLine="0"/>
              <w:rPr>
                <w:rFonts w:eastAsia="Liberation Sans" w:asciiTheme="majorHAnsi" w:hAnsiTheme="majorHAnsi" w:cstheme="majorHAnsi"/>
                <w:i/>
                <w:color w:val="000000" w:themeColor="text1"/>
                <w:sz w:val="20"/>
                <w:szCs w:val="20"/>
              </w:rPr>
            </w:pPr>
            <w:r>
              <w:rPr>
                <w:rFonts w:eastAsia="Liberation Sans" w:asciiTheme="majorHAnsi" w:hAnsiTheme="majorHAnsi" w:cstheme="majorHAnsi"/>
                <w:i/>
                <w:color w:val="000000" w:themeColor="text1"/>
                <w:sz w:val="20"/>
                <w:szCs w:val="20"/>
              </w:rPr>
              <w:t xml:space="preserve">Contrôle terminal</w:t>
            </w:r>
            <w:r>
              <w:rPr>
                <w:rFonts w:eastAsia="Liberation Sans" w:asciiTheme="majorHAnsi" w:hAnsiTheme="majorHAnsi" w:cstheme="majorHAnsi"/>
                <w:i/>
                <w:color w:val="000000" w:themeColor="text1"/>
                <w:sz w:val="20"/>
                <w:szCs w:val="20"/>
              </w:rPr>
            </w:r>
            <w:r>
              <w:rPr>
                <w:rFonts w:eastAsia="Liberation Sans" w:asciiTheme="majorHAnsi" w:hAnsiTheme="majorHAnsi" w:cstheme="majorHAnsi"/>
                <w:i/>
                <w:color w:val="000000" w:themeColor="text1"/>
                <w:sz w:val="20"/>
                <w:szCs w:val="20"/>
              </w:rPr>
            </w:r>
          </w:p>
        </w:tc>
      </w:tr>
    </w:tbl>
    <w:p w14:paraId="58FF1222" w14:textId="4C6785DB">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A8704CA" w14:textId="68CF983D">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7F105AB6" w14:textId="3174F04E">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E33A14C" w14:textId="4DBFCCF5">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2269FA8" w14:textId="2EC7C2E7">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08CEDB6" w14:textId="79883821">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79DE4218" w14:textId="5E9A9983">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B962CD9" w14:textId="7EE306B4">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0EC1650" w14:textId="6C20D832">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312EDE6" w14:textId="483D7495">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78AE64C6" w14:textId="555CE84E">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6848D339" w14:textId="4CDC1835">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329995AD" w14:textId="490FE151">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0143C79B" w14:textId="204D3D5B">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4E37A0CE" w14:textId="4720CE86">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09FB801" w14:textId="1A62E997">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5FA7F68F" w14:textId="49AAA856">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p w14:paraId="1D0DF913" w14:textId="77777777">
      <w:pPr>
        <w:pBdr/>
        <w:spacing/>
        <w:ind w:firstLine="0"/>
        <w:rPr>
          <w:rFonts w:eastAsia="Cambria" w:asciiTheme="majorHAnsi" w:hAnsiTheme="majorHAnsi" w:cstheme="majorHAnsi"/>
          <w:color w:val="000000"/>
          <w:sz w:val="20"/>
          <w:szCs w:val="20"/>
        </w:rPr>
      </w:pP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r>
        <w:rPr>
          <w:rFonts w:eastAsia="Cambria" w:asciiTheme="majorHAnsi" w:hAnsiTheme="majorHAnsi" w:cstheme="majorHAnsi"/>
          <w:color w:val="000000"/>
          <w:sz w:val="20"/>
          <w:szCs w:val="20"/>
        </w:rPr>
      </w:r>
    </w:p>
    <w:sectPr>
      <w:headerReference w:type="first" r:id="rId9"/>
      <w:footerReference w:type="default" r:id="rId10"/>
      <w:footerReference w:type="even" r:id="rId11"/>
      <w:footerReference w:type="first" r:id="rId12"/>
      <w:footnotePr/>
      <w:endnotePr/>
      <w:type w:val="nextPage"/>
      <w:pgSz w:h="15840" w:orient="portrait" w:w="12240"/>
      <w:pgMar w:top="284" w:right="1418" w:bottom="1134" w:left="1418" w:header="2041" w:footer="907" w:gutter="0"/>
      <w:pgNumType w:start="1"/>
      <w:cols w:num="1" w:sep="0" w:space="720"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77937850" w14:textId="77777777">
      <w:pPr>
        <w:pBdr/>
        <w:spacing/>
        <w:ind/>
        <w:rPr/>
      </w:pPr>
      <w:r>
        <w:separator/>
      </w:r>
      <w:r/>
    </w:p>
  </w:endnote>
  <w:endnote w:type="continuationSeparator" w:id="0">
    <w:p w14:paraId="702BE547"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603020202020204"/>
  </w:font>
  <w:font w:name="Verdana">
    <w:panose1 w:val="020B0604030504040204"/>
  </w:font>
  <w:font w:name="Calibri Light">
    <w:panose1 w:val="020F0502020204030204"/>
  </w:font>
  <w:font w:name="Wingdings">
    <w:panose1 w:val="05010000000000000000"/>
  </w:font>
  <w:font w:name="Liberation Sans">
    <w:panose1 w:val="020B0604020202020204"/>
  </w:font>
  <w:font w:name="Symbol">
    <w:panose1 w:val="05010000000000000000"/>
  </w:font>
  <w:font w:name="SimSun">
    <w:panose1 w:val="02020603020101020101"/>
  </w:font>
  <w:font w:name="Avenir Next Medium">
    <w:panose1 w:val="020F0502020204030204"/>
  </w:font>
  <w:font w:name="Mangal">
    <w:panose1 w:val="02040503050406030204"/>
  </w:font>
  <w:font w:name="Courier New">
    <w:panose1 w:val="02070309020205020404"/>
  </w:font>
  <w:font w:name="Times New Roman">
    <w:panose1 w:val="02020603050405020304"/>
  </w:font>
  <w:font w:name="Constantia">
    <w:panose1 w:val="02030602050306030303"/>
  </w:font>
  <w:font w:name="Tahoma">
    <w:panose1 w:val="020B0604030504040204"/>
  </w:font>
  <w:font w:name="Arial">
    <w:panose1 w:val="020B0604020202020204"/>
  </w:font>
  <w:font w:name="Noto Sans Symbols">
    <w:panose1 w:val="020F0502020204030204"/>
  </w:font>
  <w:font w:name="Cambria">
    <w:panose1 w:val="02040803050406030204"/>
  </w:font>
  <w:font w:name="Calibri">
    <w:panose1 w:val="020F0502020204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EE79163" w14:textId="7814F166">
    <w:pPr>
      <w:pBdr/>
      <w:spacing/>
      <w:ind w:firstLine="0" w:left="-1418"/>
      <w:jc w:val="right"/>
      <w:rPr/>
    </w:pPr>
    <w:r>
      <mc:AlternateContent>
        <mc:Choice Requires="wpg">
          <w:drawing>
            <wp:anchor xmlns:wp="http://schemas.openxmlformats.org/drawingml/2006/wordprocessingDrawing" xmlns:wp14="http://schemas.microsoft.com/office/word/2010/wordprocessingDrawing" distT="0" distB="0" distL="114300" distR="114300" simplePos="0" relativeHeight="251669504" behindDoc="0" locked="0" layoutInCell="1" allowOverlap="1">
              <wp:simplePos x="0" y="0"/>
              <wp:positionH relativeFrom="page">
                <wp:align>left</wp:align>
              </wp:positionH>
              <wp:positionV relativeFrom="paragraph">
                <wp:posOffset>-382270</wp:posOffset>
              </wp:positionV>
              <wp:extent cx="1247775" cy="1285875"/>
              <wp:effectExtent l="0" t="0" r="9525" b="9525"/>
              <wp:wrapNone/>
              <wp:docPr id="4" name="Rectangle 5"/>
              <wp:cNvGraphicFramePr/>
              <a:graphic xmlns:a="http://schemas.openxmlformats.org/drawingml/2006/main">
                <a:graphicData uri="http://schemas.microsoft.com/office/word/2010/wordprocessingShape">
                  <wps:wsp>
                    <wps:cNvPr id="0" name=""/>
                    <wps:cNvSpPr/>
                    <wps:spPr bwMode="auto">
                      <a:xfrm>
                        <a:off x="0" y="0"/>
                        <a:ext cx="1247775" cy="1285875"/>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V relativeFrom="margin">
                <wp14:pctHeight>0</wp14:pctHeight>
              </wp14:sizeRelV>
            </wp:anchor>
          </w:drawing>
        </mc:Choice>
        <mc:Fallback>
          <w:pict>
            <v:shape id="shape 3" o:spid="_x0000_s3" o:spt="1" type="#_x0000_t1" style="position:absolute;z-index:251669504;o:allowoverlap:true;o:allowincell:true;mso-position-horizontal-relative:page;mso-position-horizontal:left;mso-position-vertical-relative:text;margin-top:-30.10pt;mso-position-vertical:absolute;width:98.25pt;height:101.25pt;mso-wrap-distance-left:9.00pt;mso-wrap-distance-top:0.00pt;mso-wrap-distance-right:9.00pt;mso-wrap-distance-bottom:0.00pt;visibility:visible;" fillcolor="#FED100" stroked="f" strokeweight="2.00pt">
              <v:stroke dashstyle="solid"/>
            </v:shape>
          </w:pict>
        </mc:Fallback>
      </mc:AlternateContent>
    </w:r>
    <w:r/>
  </w:p>
  <w:p w14:paraId="3D254A5F" w14:textId="5BAB3E39">
    <w:pPr>
      <w:pBdr/>
      <w:spacing/>
      <w:ind w:firstLine="0" w:left="-1418"/>
      <w:jc w:val="right"/>
      <w:rPr/>
    </w:pPr>
    <w:r>
      <mc:AlternateContent>
        <mc:Choice Requires="wpg">
          <w:drawing>
            <wp:anchor xmlns:wp="http://schemas.openxmlformats.org/drawingml/2006/wordprocessingDrawing" xmlns:wp14="http://schemas.microsoft.com/office/word/2010/wordprocessingDrawing" distT="0" distB="0" distL="114300" distR="114300" simplePos="0" relativeHeight="251671552" behindDoc="0" locked="0" layoutInCell="1" allowOverlap="1">
              <wp:simplePos x="0" y="0"/>
              <wp:positionH relativeFrom="page">
                <wp:align>right</wp:align>
              </wp:positionH>
              <wp:positionV relativeFrom="paragraph">
                <wp:posOffset>581025</wp:posOffset>
              </wp:positionV>
              <wp:extent cx="6534150" cy="171450"/>
              <wp:effectExtent l="0" t="0" r="0" b="0"/>
              <wp:wrapNone/>
              <wp:docPr id="5" name="Rectangle 7"/>
              <wp:cNvGraphicFramePr/>
              <a:graphic xmlns:a="http://schemas.openxmlformats.org/drawingml/2006/main">
                <a:graphicData uri="http://schemas.microsoft.com/office/word/2010/wordprocessingShape">
                  <wps:wsp>
                    <wps:cNvPr id="0" name=""/>
                    <wps:cNvSpPr/>
                    <wps:spPr bwMode="auto">
                      <a:xfrm>
                        <a:off x="0" y="0"/>
                        <a:ext cx="6534150" cy="171450"/>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1DEAF5" w14:textId="77777777">
                          <w:pPr>
                            <w:pBdr/>
                            <w:spacing/>
                            <w:ind/>
                            <w:jc w:val="center"/>
                            <w:rPr/>
                          </w:pPr>
                          <w: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4" o:spid="_x0000_s4" o:spt="1" type="#_x0000_t1" style="position:absolute;z-index:251671552;o:allowoverlap:true;o:allowincell:true;mso-position-horizontal-relative:page;mso-position-horizontal:right;mso-position-vertical-relative:text;margin-top:45.75pt;mso-position-vertical:absolute;width:514.50pt;height:13.50pt;mso-wrap-distance-left:9.00pt;mso-wrap-distance-top:0.00pt;mso-wrap-distance-right:9.00pt;mso-wrap-distance-bottom:0.00pt;v-text-anchor:middle;visibility:visible;" fillcolor="#FED100" stroked="f" strokeweight="2.00pt">
              <v:stroke dashstyle="solid"/>
              <v:textbox inset="0,0,0,0">
                <w:txbxContent>
                  <w:p w14:paraId="241DEAF5" w14:textId="77777777">
                    <w:pPr>
                      <w:pBdr/>
                      <w:spacing/>
                      <w:ind/>
                      <w:jc w:val="center"/>
                      <w:rPr/>
                    </w:pPr>
                    <w:r/>
                    <w:r/>
                  </w:p>
                </w:txbxContent>
              </v:textbox>
            </v:shape>
          </w:pict>
        </mc:Fallback>
      </mc:AlternateContent>
    </w:r>
    <w:r>
      <w:t xml:space="preserve">- </w:t>
    </w:r>
    <w:r>
      <w:fldChar w:fldCharType="begin"/>
    </w:r>
    <w:r>
      <w:instrText xml:space="preserve">PAGE</w:instrText>
    </w:r>
    <w:r>
      <w:fldChar w:fldCharType="separate"/>
    </w:r>
    <w:r>
      <w:t xml:space="preserve">39</w:t>
    </w:r>
    <w:r>
      <w:fldChar w:fldCharType="end"/>
    </w:r>
    <w:r>
      <w:t xml:space="preserve">/</w:t>
    </w:r>
    <w:r>
      <w:fldChar w:fldCharType="begin"/>
    </w:r>
    <w:r>
      <w:instrText xml:space="preserve">NUMPAGES</w:instrText>
    </w:r>
    <w:r>
      <w:fldChar w:fldCharType="separate"/>
    </w:r>
    <w:r>
      <w:t xml:space="preserve">40</w:t>
    </w:r>
    <w:r>
      <w:fldChar w:fldCharType="end"/>
    </w:r>
    <w:r>
      <w:t xml:space="preserve"> -</w:t>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5F964112" w14:textId="77777777">
    <w:pPr>
      <w:pBdr/>
      <w:spacing/>
      <w:ind/>
      <w:jc w:val="center"/>
      <w:rPr/>
    </w:pPr>
    <w:r>
      <w:t xml:space="preserve">- </w:t>
    </w:r>
    <w:r>
      <w:fldChar w:fldCharType="begin"/>
    </w:r>
    <w:r>
      <w:instrText xml:space="preserve">PAGE</w:instrText>
    </w:r>
    <w:r>
      <w:fldChar w:fldCharType="end"/>
    </w:r>
    <w:r>
      <w:t xml:space="preserve">/</w:t>
    </w:r>
    <w:r>
      <w:fldChar w:fldCharType="begin"/>
    </w:r>
    <w:r>
      <w:instrText xml:space="preserve">NUMPAGES</w:instrText>
    </w:r>
    <w:r>
      <w:fldChar w:fldCharType="separate"/>
    </w:r>
    <w:r>
      <w:t xml:space="preserve">40</w:t>
    </w:r>
    <w:r>
      <w:fldChar w:fldCharType="end"/>
    </w:r>
    <w:r>
      <w:t xml:space="preserve"> -</w:t>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6DB7C91" w14:textId="7D888A33">
    <w:pPr>
      <w:pStyle w:val="119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67456" behindDoc="0" locked="0" layoutInCell="1" allowOverlap="1">
              <wp:simplePos x="0" y="0"/>
              <wp:positionH relativeFrom="page">
                <wp:posOffset>1228725</wp:posOffset>
              </wp:positionH>
              <wp:positionV relativeFrom="paragraph">
                <wp:posOffset>565785</wp:posOffset>
              </wp:positionV>
              <wp:extent cx="6534150" cy="171450"/>
              <wp:effectExtent l="0" t="0" r="0" b="0"/>
              <wp:wrapNone/>
              <wp:docPr id="6" name="Rectangle 26"/>
              <wp:cNvGraphicFramePr/>
              <a:graphic xmlns:a="http://schemas.openxmlformats.org/drawingml/2006/main">
                <a:graphicData uri="http://schemas.microsoft.com/office/word/2010/wordprocessingShape">
                  <wps:wsp>
                    <wps:cNvPr id="0" name=""/>
                    <wps:cNvSpPr/>
                    <wps:spPr bwMode="auto">
                      <a:xfrm>
                        <a:off x="0" y="0"/>
                        <a:ext cx="6534150" cy="171450"/>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C53089" w14:textId="77777777">
                          <w:pPr>
                            <w:pBdr/>
                            <w:spacing/>
                            <w:ind/>
                            <w:jc w:val="center"/>
                            <w:rPr/>
                          </w:pPr>
                          <w: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5" o:spid="_x0000_s5" o:spt="1" type="#_x0000_t1" style="position:absolute;z-index:251667456;o:allowoverlap:true;o:allowincell:true;mso-position-horizontal-relative:page;margin-left:96.75pt;mso-position-horizontal:absolute;mso-position-vertical-relative:text;margin-top:44.55pt;mso-position-vertical:absolute;width:514.50pt;height:13.50pt;mso-wrap-distance-left:9.00pt;mso-wrap-distance-top:0.00pt;mso-wrap-distance-right:9.00pt;mso-wrap-distance-bottom:0.00pt;v-text-anchor:middle;visibility:visible;" fillcolor="#FED100" stroked="f" strokeweight="2.00pt">
              <v:stroke dashstyle="solid"/>
              <v:textbox inset="0,0,0,0">
                <w:txbxContent>
                  <w:p w14:paraId="26C53089" w14:textId="77777777">
                    <w:pPr>
                      <w:pBdr/>
                      <w:spacing/>
                      <w:ind/>
                      <w:jc w:val="center"/>
                      <w:rPr/>
                    </w:pPr>
                    <w: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5408" behindDoc="0" locked="0" layoutInCell="1" allowOverlap="1">
              <wp:simplePos x="0" y="0"/>
              <wp:positionH relativeFrom="page">
                <wp:align>left</wp:align>
              </wp:positionH>
              <wp:positionV relativeFrom="paragraph">
                <wp:posOffset>-552450</wp:posOffset>
              </wp:positionV>
              <wp:extent cx="1247775" cy="1285875"/>
              <wp:effectExtent l="0" t="0" r="9525" b="9525"/>
              <wp:wrapNone/>
              <wp:docPr id="7" name="Rectangle 25"/>
              <wp:cNvGraphicFramePr/>
              <a:graphic xmlns:a="http://schemas.openxmlformats.org/drawingml/2006/main">
                <a:graphicData uri="http://schemas.microsoft.com/office/word/2010/wordprocessingShape">
                  <wps:wsp>
                    <wps:cNvPr id="0" name=""/>
                    <wps:cNvSpPr/>
                    <wps:spPr bwMode="auto">
                      <a:xfrm>
                        <a:off x="0" y="0"/>
                        <a:ext cx="1247775" cy="1285875"/>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V relativeFrom="margin">
                <wp14:pctHeight>0</wp14:pctHeight>
              </wp14:sizeRelV>
            </wp:anchor>
          </w:drawing>
        </mc:Choice>
        <mc:Fallback>
          <w:pict>
            <v:shape id="shape 6" o:spid="_x0000_s6" o:spt="1" type="#_x0000_t1" style="position:absolute;z-index:251665408;o:allowoverlap:true;o:allowincell:true;mso-position-horizontal-relative:page;mso-position-horizontal:left;mso-position-vertical-relative:text;margin-top:-43.50pt;mso-position-vertical:absolute;width:98.25pt;height:101.25pt;mso-wrap-distance-left:9.00pt;mso-wrap-distance-top:0.00pt;mso-wrap-distance-right:9.00pt;mso-wrap-distance-bottom:0.00pt;visibility:visible;" fillcolor="#FED100" stroked="f" strokeweight="2.00pt">
              <v:stroke dashstyle="solid"/>
            </v:shape>
          </w:pict>
        </mc:Fallback>
      </mc:AlternateConten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15CCD64" w14:textId="77777777">
      <w:pPr>
        <w:pBdr/>
        <w:spacing/>
        <w:ind/>
        <w:rPr/>
      </w:pPr>
      <w:r>
        <w:separator/>
      </w:r>
      <w:r/>
    </w:p>
  </w:footnote>
  <w:footnote w:type="continuationSeparator" w:id="0">
    <w:p w14:paraId="3C162E38"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18F913D" w14:textId="333DAEE1">
    <w:pPr>
      <w:pStyle w:val="119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63360" behindDoc="0" locked="0" layoutInCell="1" allowOverlap="1">
              <wp:simplePos x="0" y="0"/>
              <wp:positionH relativeFrom="margin">
                <wp:posOffset>-114300</wp:posOffset>
              </wp:positionH>
              <wp:positionV relativeFrom="paragraph">
                <wp:posOffset>-1047750</wp:posOffset>
              </wp:positionV>
              <wp:extent cx="3063875" cy="581025"/>
              <wp:effectExtent l="0" t="0" r="0" b="0"/>
              <wp:wrapNone/>
              <wp:docPr id="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rotWithShape="1">
                      <a:blip r:embed="rId1"/>
                      <a:stretch/>
                    </pic:blipFill>
                    <pic:spPr bwMode="auto">
                      <a:xfrm>
                        <a:off x="0" y="0"/>
                        <a:ext cx="3063875" cy="581025"/>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3360;o:allowoverlap:true;o:allowincell:true;mso-position-horizontal-relative:margin;margin-left:-9.00pt;mso-position-horizontal:absolute;mso-position-vertical-relative:text;margin-top:-82.50pt;mso-position-vertical:absolute;width:241.25pt;height:45.75pt;mso-wrap-distance-left:9.00pt;mso-wrap-distance-top:0.00pt;mso-wrap-distance-right:9.00pt;mso-wrap-distance-bottom:0.00pt;z-index:1;" stroked="f">
              <v:imagedata r:id="rId1"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1312" behindDoc="0" locked="0" layoutInCell="1" allowOverlap="1">
              <wp:simplePos x="0" y="0"/>
              <wp:positionH relativeFrom="page">
                <wp:align>left</wp:align>
              </wp:positionH>
              <wp:positionV relativeFrom="paragraph">
                <wp:posOffset>-1295400</wp:posOffset>
              </wp:positionV>
              <wp:extent cx="4238625" cy="190500"/>
              <wp:effectExtent l="0" t="0" r="9525" b="0"/>
              <wp:wrapNone/>
              <wp:docPr id="2" name="Rectangle 23"/>
              <wp:cNvGraphicFramePr/>
              <a:graphic xmlns:a="http://schemas.openxmlformats.org/drawingml/2006/main">
                <a:graphicData uri="http://schemas.microsoft.com/office/word/2010/wordprocessingShape">
                  <wps:wsp>
                    <wps:cNvPr id="0" name=""/>
                    <wps:cNvSpPr/>
                    <wps:spPr bwMode="auto">
                      <a:xfrm>
                        <a:off x="0" y="0"/>
                        <a:ext cx="4238625" cy="190500"/>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1" o:spid="_x0000_s1" o:spt="1" type="#_x0000_t1" style="position:absolute;z-index:251661312;o:allowoverlap:true;o:allowincell:true;mso-position-horizontal-relative:page;mso-position-horizontal:left;mso-position-vertical-relative:text;margin-top:-102.00pt;mso-position-vertical:absolute;width:333.75pt;height:15.00pt;mso-wrap-distance-left:9.00pt;mso-wrap-distance-top:0.00pt;mso-wrap-distance-right:9.00pt;mso-wrap-distance-bottom:0.00pt;visibility:visible;" fillcolor="#FED100" stroked="f" strokeweight="2.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page">
                <wp:align>right</wp:align>
              </wp:positionH>
              <wp:positionV relativeFrom="paragraph">
                <wp:posOffset>-1295400</wp:posOffset>
              </wp:positionV>
              <wp:extent cx="3552825" cy="923925"/>
              <wp:effectExtent l="0" t="0" r="9525" b="9525"/>
              <wp:wrapNone/>
              <wp:docPr id="3" name="Rectangle 24"/>
              <wp:cNvGraphicFramePr/>
              <a:graphic xmlns:a="http://schemas.openxmlformats.org/drawingml/2006/main">
                <a:graphicData uri="http://schemas.microsoft.com/office/word/2010/wordprocessingShape">
                  <wps:wsp>
                    <wps:cNvPr id="0" name=""/>
                    <wps:cNvSpPr/>
                    <wps:spPr bwMode="auto">
                      <a:xfrm>
                        <a:off x="0" y="0"/>
                        <a:ext cx="3552825" cy="923925"/>
                      </a:xfrm>
                      <a:prstGeom prst="rect">
                        <a:avLst/>
                      </a:prstGeom>
                      <a:solidFill>
                        <a:srgbClr val="FED100"/>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shape id="shape 2" o:spid="_x0000_s2" o:spt="1" type="#_x0000_t1" style="position:absolute;z-index:251659264;o:allowoverlap:true;o:allowincell:true;mso-position-horizontal-relative:page;mso-position-horizontal:right;mso-position-vertical-relative:text;margin-top:-102.00pt;mso-position-vertical:absolute;width:279.75pt;height:72.75pt;mso-wrap-distance-left:9.00pt;mso-wrap-distance-top:0.00pt;mso-wrap-distance-right:9.00pt;mso-wrap-distance-bottom:0.00pt;visibility:visible;" fillcolor="#FED100" stroked="f" strokeweight="2.00pt">
              <v:stroke dashstyle="solid"/>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82612"/>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1">
    <w:nsid w:val="04555D59"/>
    <w:lvl w:ilvl="0">
      <w:isLgl w:val="false"/>
      <w:lvlJc w:val="left"/>
      <w:lvlText w:val="●"/>
      <w:numFmt w:val="bullet"/>
      <w:pPr>
        <w:pBdr/>
        <w:spacing/>
        <w:ind w:hanging="360" w:left="720"/>
      </w:pPr>
      <w:rPr>
        <w:rFonts w:ascii="Noto Sans Symbols" w:hAnsi="Noto Sans Symbols" w:eastAsia="Noto Sans Symbols" w:cs="Noto Sans Symbols"/>
        <w:sz w:val="20"/>
        <w:szCs w:val="20"/>
      </w:rPr>
      <w:start w:val="1"/>
      <w:suff w:val="tab"/>
    </w:lvl>
    <w:lvl w:ilvl="1">
      <w:isLgl w:val="false"/>
      <w:lvlJc w:val="left"/>
      <w:lvlText w:val="o"/>
      <w:numFmt w:val="bullet"/>
      <w:pPr>
        <w:pBdr/>
        <w:spacing/>
        <w:ind w:hanging="360" w:left="1440"/>
      </w:pPr>
      <w:rPr>
        <w:rFonts w:ascii="Courier New" w:hAnsi="Courier New" w:eastAsia="Courier New" w:cs="Courier New"/>
        <w:sz w:val="20"/>
        <w:szCs w:val="20"/>
      </w:rPr>
      <w:start w:val="1"/>
      <w:suff w:val="tab"/>
    </w:lvl>
    <w:lvl w:ilvl="2">
      <w:isLgl w:val="false"/>
      <w:lvlJc w:val="left"/>
      <w:lvlText w:val="▪"/>
      <w:numFmt w:val="bullet"/>
      <w:pPr>
        <w:pBdr/>
        <w:spacing/>
        <w:ind w:hanging="360" w:left="2160"/>
      </w:pPr>
      <w:rPr>
        <w:rFonts w:ascii="Noto Sans Symbols" w:hAnsi="Noto Sans Symbols" w:eastAsia="Noto Sans Symbols" w:cs="Noto Sans Symbols"/>
        <w:sz w:val="20"/>
        <w:szCs w:val="20"/>
      </w:rPr>
      <w:start w:val="1"/>
      <w:suff w:val="tab"/>
    </w:lvl>
    <w:lvl w:ilvl="3">
      <w:isLgl w:val="false"/>
      <w:lvlJc w:val="left"/>
      <w:lvlText w:val="▪"/>
      <w:numFmt w:val="bullet"/>
      <w:pPr>
        <w:pBdr/>
        <w:spacing/>
        <w:ind w:hanging="360" w:left="2880"/>
      </w:pPr>
      <w:rPr>
        <w:rFonts w:ascii="Noto Sans Symbols" w:hAnsi="Noto Sans Symbols" w:eastAsia="Noto Sans Symbols" w:cs="Noto Sans Symbols"/>
        <w:sz w:val="20"/>
        <w:szCs w:val="20"/>
      </w:rPr>
      <w:start w:val="1"/>
      <w:suff w:val="tab"/>
    </w:lvl>
    <w:lvl w:ilvl="4">
      <w:isLgl w:val="false"/>
      <w:lvlJc w:val="left"/>
      <w:lvlText w:val="▪"/>
      <w:numFmt w:val="bullet"/>
      <w:pPr>
        <w:pBdr/>
        <w:spacing/>
        <w:ind w:hanging="360" w:left="3600"/>
      </w:pPr>
      <w:rPr>
        <w:rFonts w:ascii="Noto Sans Symbols" w:hAnsi="Noto Sans Symbols" w:eastAsia="Noto Sans Symbols" w:cs="Noto Sans Symbols"/>
        <w:sz w:val="20"/>
        <w:szCs w:val="20"/>
      </w:rPr>
      <w:start w:val="1"/>
      <w:suff w:val="tab"/>
    </w:lvl>
    <w:lvl w:ilvl="5">
      <w:isLgl w:val="false"/>
      <w:lvlJc w:val="left"/>
      <w:lvlText w:val="▪"/>
      <w:numFmt w:val="bullet"/>
      <w:pPr>
        <w:pBdr/>
        <w:spacing/>
        <w:ind w:hanging="360" w:left="4320"/>
      </w:pPr>
      <w:rPr>
        <w:rFonts w:ascii="Noto Sans Symbols" w:hAnsi="Noto Sans Symbols" w:eastAsia="Noto Sans Symbols" w:cs="Noto Sans Symbols"/>
        <w:sz w:val="20"/>
        <w:szCs w:val="20"/>
      </w:rPr>
      <w:start w:val="1"/>
      <w:suff w:val="tab"/>
    </w:lvl>
    <w:lvl w:ilvl="6">
      <w:isLgl w:val="false"/>
      <w:lvlJc w:val="left"/>
      <w:lvlText w:val="▪"/>
      <w:numFmt w:val="bullet"/>
      <w:pPr>
        <w:pBdr/>
        <w:spacing/>
        <w:ind w:hanging="360" w:left="5040"/>
      </w:pPr>
      <w:rPr>
        <w:rFonts w:ascii="Noto Sans Symbols" w:hAnsi="Noto Sans Symbols" w:eastAsia="Noto Sans Symbols" w:cs="Noto Sans Symbols"/>
        <w:sz w:val="20"/>
        <w:szCs w:val="20"/>
      </w:rPr>
      <w:start w:val="1"/>
      <w:suff w:val="tab"/>
    </w:lvl>
    <w:lvl w:ilvl="7">
      <w:isLgl w:val="false"/>
      <w:lvlJc w:val="left"/>
      <w:lvlText w:val="▪"/>
      <w:numFmt w:val="bullet"/>
      <w:pPr>
        <w:pBdr/>
        <w:spacing/>
        <w:ind w:hanging="360" w:left="5760"/>
      </w:pPr>
      <w:rPr>
        <w:rFonts w:ascii="Noto Sans Symbols" w:hAnsi="Noto Sans Symbols" w:eastAsia="Noto Sans Symbols" w:cs="Noto Sans Symbols"/>
        <w:sz w:val="20"/>
        <w:szCs w:val="20"/>
      </w:rPr>
      <w:start w:val="1"/>
      <w:suff w:val="tab"/>
    </w:lvl>
    <w:lvl w:ilvl="8">
      <w:isLgl w:val="false"/>
      <w:lvlJc w:val="left"/>
      <w:lvlText w:val="▪"/>
      <w:numFmt w:val="bullet"/>
      <w:pPr>
        <w:pBdr/>
        <w:spacing/>
        <w:ind w:hanging="360" w:left="6480"/>
      </w:pPr>
      <w:rPr>
        <w:rFonts w:ascii="Noto Sans Symbols" w:hAnsi="Noto Sans Symbols" w:eastAsia="Noto Sans Symbols" w:cs="Noto Sans Symbols"/>
        <w:sz w:val="20"/>
        <w:szCs w:val="20"/>
      </w:rPr>
      <w:start w:val="1"/>
      <w:suff w:val="tab"/>
    </w:lvl>
  </w:abstractNum>
  <w:abstractNum w:abstractNumId="2">
    <w:nsid w:val="050D0206"/>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076E3C97"/>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
    <w:nsid w:val="0E7F5DA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5">
    <w:nsid w:val="13140CA3"/>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6">
    <w:nsid w:val="135D076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7">
    <w:nsid w:val="19F91185"/>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Wingdings" w:hAnsi="Wingdings" w:eastAsia="Wingdings" w:cs="Wingdings"/>
      </w:rPr>
      <w:start w:val="1"/>
      <w:suff w:val="tab"/>
    </w:lvl>
    <w:lvl w:ilvl="4">
      <w:isLgl w:val="false"/>
      <w:lvlJc w:val="left"/>
      <w:lvlText w:val=""/>
      <w:numFmt w:val="bullet"/>
      <w:pPr>
        <w:pBdr/>
        <w:spacing/>
        <w:ind w:hanging="360" w:left="3600"/>
      </w:pPr>
      <w:rPr>
        <w:rFonts w:hint="default" w:ascii="Wingdings" w:hAnsi="Wingdings" w:eastAsia="Wingdings" w:cs="Wingdings"/>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Wingdings" w:hAnsi="Wingdings" w:eastAsia="Wingdings" w:cs="Wingdings"/>
      </w:rPr>
      <w:start w:val="1"/>
      <w:suff w:val="tab"/>
    </w:lvl>
    <w:lvl w:ilvl="7">
      <w:isLgl w:val="false"/>
      <w:lvlJc w:val="left"/>
      <w:lvlText w:val=""/>
      <w:numFmt w:val="bullet"/>
      <w:pPr>
        <w:pBdr/>
        <w:spacing/>
        <w:ind w:hanging="360" w:left="5760"/>
      </w:pPr>
      <w:rPr>
        <w:rFonts w:hint="default" w:ascii="Wingdings" w:hAnsi="Wingdings" w:eastAsia="Wingdings" w:cs="Wingdings"/>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8">
    <w:nsid w:val="21531D34"/>
    <w:lvl w:ilvl="0">
      <w:isLgl w:val="false"/>
      <w:lvlJc w:val="left"/>
      <w:lvlText w:val=""/>
      <w:numFmt w:val="decimal"/>
      <w:pPr>
        <w:pBdr/>
        <w:spacing/>
        <w:ind w:hanging="432" w:left="432"/>
      </w:pPr>
      <w:rPr/>
      <w:start w:val="1"/>
      <w:suff w:val="tab"/>
    </w:lvl>
    <w:lvl w:ilvl="1">
      <w:isLgl w:val="false"/>
      <w:lvlJc w:val="left"/>
      <w:lvlText w:val=""/>
      <w:numFmt w:val="decimal"/>
      <w:pPr>
        <w:pBdr/>
        <w:spacing/>
        <w:ind w:hanging="576" w:left="576"/>
      </w:pPr>
      <w:rPr/>
      <w:start w:val="1"/>
      <w:suff w:val="tab"/>
    </w:lvl>
    <w:lvl w:ilvl="2">
      <w:isLgl w:val="false"/>
      <w:lvlJc w:val="left"/>
      <w:lvlText w:val=""/>
      <w:numFmt w:val="decimal"/>
      <w:pPr>
        <w:pBdr/>
        <w:spacing/>
        <w:ind w:hanging="720" w:left="720"/>
      </w:pPr>
      <w:rPr/>
      <w:start w:val="1"/>
      <w:suff w:val="tab"/>
    </w:lvl>
    <w:lvl w:ilvl="3">
      <w:isLgl w:val="false"/>
      <w:lvlJc w:val="left"/>
      <w:lvlText w:val=""/>
      <w:numFmt w:val="decimal"/>
      <w:pPr>
        <w:pBdr/>
        <w:spacing/>
        <w:ind w:hanging="864" w:left="864"/>
      </w:pPr>
      <w:rPr/>
      <w:start w:val="1"/>
      <w:suff w:val="tab"/>
    </w:lvl>
    <w:lvl w:ilvl="4">
      <w:isLgl w:val="false"/>
      <w:lvlJc w:val="left"/>
      <w:lvlText w:val=""/>
      <w:numFmt w:val="decimal"/>
      <w:pPr>
        <w:pBdr/>
        <w:spacing/>
        <w:ind w:hanging="1008" w:left="1008"/>
      </w:pPr>
      <w:rPr/>
      <w:start w:val="1"/>
      <w:suff w:val="tab"/>
    </w:lvl>
    <w:lvl w:ilvl="5">
      <w:isLgl w:val="false"/>
      <w:lvlJc w:val="left"/>
      <w:lvlText w:val=""/>
      <w:numFmt w:val="decimal"/>
      <w:pPr>
        <w:pBdr/>
        <w:spacing/>
        <w:ind w:hanging="1152" w:left="1152"/>
      </w:pPr>
      <w:rPr/>
      <w:start w:val="1"/>
      <w:suff w:val="tab"/>
    </w:lvl>
    <w:lvl w:ilvl="6">
      <w:isLgl w:val="false"/>
      <w:lvlJc w:val="left"/>
      <w:lvlText w:val=""/>
      <w:numFmt w:val="decimal"/>
      <w:pPr>
        <w:pBdr/>
        <w:spacing/>
        <w:ind w:hanging="1296" w:left="1296"/>
      </w:pPr>
      <w:rPr/>
      <w:start w:val="1"/>
      <w:suff w:val="tab"/>
    </w:lvl>
    <w:lvl w:ilvl="7">
      <w:isLgl w:val="false"/>
      <w:lvlJc w:val="left"/>
      <w:lvlText w:val=""/>
      <w:numFmt w:val="decimal"/>
      <w:pPr>
        <w:pBdr/>
        <w:spacing/>
        <w:ind w:hanging="1440" w:left="1440"/>
      </w:pPr>
      <w:rPr/>
      <w:start w:val="1"/>
      <w:suff w:val="tab"/>
    </w:lvl>
    <w:lvl w:ilvl="8">
      <w:isLgl w:val="false"/>
      <w:lvlJc w:val="left"/>
      <w:lvlText w:val=""/>
      <w:numFmt w:val="decimal"/>
      <w:pPr>
        <w:pBdr/>
        <w:spacing/>
        <w:ind w:hanging="1584" w:left="1584"/>
      </w:pPr>
      <w:rPr/>
      <w:start w:val="1"/>
      <w:suff w:val="tab"/>
    </w:lvl>
  </w:abstractNum>
  <w:abstractNum w:abstractNumId="9">
    <w:nsid w:val="22BE1600"/>
    <w:lvl w:ilvl="0">
      <w:isLgl w:val="false"/>
      <w:lvlJc w:val="left"/>
      <w:lvlText w:val="-"/>
      <w:numFmt w:val="bullet"/>
      <w:pPr>
        <w:pBdr/>
        <w:spacing/>
        <w:ind w:hanging="360" w:left="720"/>
      </w:pPr>
      <w:rPr>
        <w:rFonts w:ascii="Constantia" w:hAnsi="Constantia" w:eastAsia="Constantia" w:cs="Constantia"/>
        <w:u w:val="none"/>
      </w:rPr>
      <w:start w:val="2"/>
      <w:suff w:val="tab"/>
    </w:lvl>
    <w:lvl w:ilvl="1">
      <w:isLgl w:val="false"/>
      <w:lvlJc w:val="left"/>
      <w:lvlText w:val="o"/>
      <w:numFmt w:val="bullet"/>
      <w:pPr>
        <w:pBdr/>
        <w:spacing/>
        <w:ind w:hanging="360" w:left="1440"/>
      </w:pPr>
      <w:rPr>
        <w:rFonts w:ascii="Courier New" w:hAnsi="Courier New" w:eastAsia="Courier New" w:cs="Courier New"/>
      </w:rPr>
      <w:start w:val="1"/>
      <w:suff w:val="tab"/>
    </w:lvl>
    <w:lvl w:ilvl="2">
      <w:isLgl w:val="false"/>
      <w:lvlJc w:val="left"/>
      <w:lvlText w:val="▪"/>
      <w:numFmt w:val="bullet"/>
      <w:pPr>
        <w:pBdr/>
        <w:spacing/>
        <w:ind w:hanging="360" w:left="2160"/>
      </w:pPr>
      <w:rPr>
        <w:rFonts w:ascii="Noto Sans Symbols" w:hAnsi="Noto Sans Symbols" w:eastAsia="Noto Sans Symbols" w:cs="Noto Sans Symbols"/>
      </w:rPr>
      <w:start w:val="1"/>
      <w:suff w:val="tab"/>
    </w:lvl>
    <w:lvl w:ilvl="3">
      <w:isLgl w:val="false"/>
      <w:lvlJc w:val="left"/>
      <w:lvlText w:val="●"/>
      <w:numFmt w:val="bullet"/>
      <w:pPr>
        <w:pBdr/>
        <w:spacing/>
        <w:ind w:hanging="360" w:left="2880"/>
      </w:pPr>
      <w:rPr>
        <w:rFonts w:ascii="Noto Sans Symbols" w:hAnsi="Noto Sans Symbols" w:eastAsia="Noto Sans Symbols" w:cs="Noto Sans Symbols"/>
      </w:rPr>
      <w:start w:val="1"/>
      <w:suff w:val="tab"/>
    </w:lvl>
    <w:lvl w:ilvl="4">
      <w:isLgl w:val="false"/>
      <w:lvlJc w:val="left"/>
      <w:lvlText w:val="o"/>
      <w:numFmt w:val="bullet"/>
      <w:pPr>
        <w:pBdr/>
        <w:spacing/>
        <w:ind w:hanging="360" w:left="3600"/>
      </w:pPr>
      <w:rPr>
        <w:rFonts w:ascii="Courier New" w:hAnsi="Courier New" w:eastAsia="Courier New" w:cs="Courier New"/>
      </w:rPr>
      <w:start w:val="1"/>
      <w:suff w:val="tab"/>
    </w:lvl>
    <w:lvl w:ilvl="5">
      <w:isLgl w:val="false"/>
      <w:lvlJc w:val="left"/>
      <w:lvlText w:val="▪"/>
      <w:numFmt w:val="bullet"/>
      <w:pPr>
        <w:pBdr/>
        <w:spacing/>
        <w:ind w:hanging="360" w:left="4320"/>
      </w:pPr>
      <w:rPr>
        <w:rFonts w:ascii="Noto Sans Symbols" w:hAnsi="Noto Sans Symbols" w:eastAsia="Noto Sans Symbols" w:cs="Noto Sans Symbols"/>
      </w:rPr>
      <w:start w:val="1"/>
      <w:suff w:val="tab"/>
    </w:lvl>
    <w:lvl w:ilvl="6">
      <w:isLgl w:val="false"/>
      <w:lvlJc w:val="left"/>
      <w:lvlText w:val="●"/>
      <w:numFmt w:val="bullet"/>
      <w:pPr>
        <w:pBdr/>
        <w:spacing/>
        <w:ind w:hanging="360" w:left="5040"/>
      </w:pPr>
      <w:rPr>
        <w:rFonts w:ascii="Noto Sans Symbols" w:hAnsi="Noto Sans Symbols" w:eastAsia="Noto Sans Symbols" w:cs="Noto Sans Symbols"/>
      </w:rPr>
      <w:start w:val="1"/>
      <w:suff w:val="tab"/>
    </w:lvl>
    <w:lvl w:ilvl="7">
      <w:isLgl w:val="false"/>
      <w:lvlJc w:val="left"/>
      <w:lvlText w:val="o"/>
      <w:numFmt w:val="bullet"/>
      <w:pPr>
        <w:pBdr/>
        <w:spacing/>
        <w:ind w:hanging="360" w:left="5760"/>
      </w:pPr>
      <w:rPr>
        <w:rFonts w:ascii="Courier New" w:hAnsi="Courier New" w:eastAsia="Courier New" w:cs="Courier New"/>
      </w:rPr>
      <w:start w:val="1"/>
      <w:suff w:val="tab"/>
    </w:lvl>
    <w:lvl w:ilvl="8">
      <w:isLgl w:val="false"/>
      <w:lvlJc w:val="left"/>
      <w:lvlText w:val="▪"/>
      <w:numFmt w:val="bullet"/>
      <w:pPr>
        <w:pBdr/>
        <w:spacing/>
        <w:ind w:hanging="360" w:left="6480"/>
      </w:pPr>
      <w:rPr>
        <w:rFonts w:ascii="Noto Sans Symbols" w:hAnsi="Noto Sans Symbols" w:eastAsia="Noto Sans Symbols" w:cs="Noto Sans Symbols"/>
      </w:rPr>
      <w:start w:val="1"/>
      <w:suff w:val="tab"/>
    </w:lvl>
  </w:abstractNum>
  <w:abstractNum w:abstractNumId="10">
    <w:nsid w:val="23314DF6"/>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1">
    <w:nsid w:val="244F126B"/>
    <w:lvl w:ilvl="0">
      <w:isLgl w:val="false"/>
      <w:lvlJc w:val="left"/>
      <w:lvlText w:val="●"/>
      <w:numFmt w:val="bullet"/>
      <w:pPr>
        <w:pBdr/>
        <w:spacing/>
        <w:ind w:hanging="360" w:left="720"/>
      </w:pPr>
      <w:rPr>
        <w:rFonts w:ascii="Noto Sans Symbols" w:hAnsi="Noto Sans Symbols" w:eastAsia="Noto Sans Symbols" w:cs="Noto Sans Symbols"/>
        <w:sz w:val="20"/>
        <w:szCs w:val="20"/>
      </w:rPr>
      <w:start w:val="1"/>
      <w:suff w:val="tab"/>
    </w:lvl>
    <w:lvl w:ilvl="1">
      <w:isLgl w:val="false"/>
      <w:lvlJc w:val="left"/>
      <w:lvlText w:val="o"/>
      <w:numFmt w:val="bullet"/>
      <w:pPr>
        <w:pBdr/>
        <w:spacing/>
        <w:ind w:hanging="360" w:left="1440"/>
      </w:pPr>
      <w:rPr>
        <w:rFonts w:ascii="Courier New" w:hAnsi="Courier New" w:eastAsia="Courier New" w:cs="Courier New"/>
        <w:sz w:val="20"/>
        <w:szCs w:val="20"/>
      </w:rPr>
      <w:start w:val="1"/>
      <w:suff w:val="tab"/>
    </w:lvl>
    <w:lvl w:ilvl="2">
      <w:isLgl w:val="false"/>
      <w:lvlJc w:val="left"/>
      <w:lvlText w:val="▪"/>
      <w:numFmt w:val="bullet"/>
      <w:pPr>
        <w:pBdr/>
        <w:spacing/>
        <w:ind w:hanging="360" w:left="2160"/>
      </w:pPr>
      <w:rPr>
        <w:rFonts w:ascii="Noto Sans Symbols" w:hAnsi="Noto Sans Symbols" w:eastAsia="Noto Sans Symbols" w:cs="Noto Sans Symbols"/>
        <w:sz w:val="20"/>
        <w:szCs w:val="20"/>
      </w:rPr>
      <w:start w:val="1"/>
      <w:suff w:val="tab"/>
    </w:lvl>
    <w:lvl w:ilvl="3">
      <w:isLgl w:val="false"/>
      <w:lvlJc w:val="left"/>
      <w:lvlText w:val="▪"/>
      <w:numFmt w:val="bullet"/>
      <w:pPr>
        <w:pBdr/>
        <w:spacing/>
        <w:ind w:hanging="360" w:left="2880"/>
      </w:pPr>
      <w:rPr>
        <w:rFonts w:ascii="Noto Sans Symbols" w:hAnsi="Noto Sans Symbols" w:eastAsia="Noto Sans Symbols" w:cs="Noto Sans Symbols"/>
        <w:sz w:val="20"/>
        <w:szCs w:val="20"/>
      </w:rPr>
      <w:start w:val="1"/>
      <w:suff w:val="tab"/>
    </w:lvl>
    <w:lvl w:ilvl="4">
      <w:isLgl w:val="false"/>
      <w:lvlJc w:val="left"/>
      <w:lvlText w:val="▪"/>
      <w:numFmt w:val="bullet"/>
      <w:pPr>
        <w:pBdr/>
        <w:spacing/>
        <w:ind w:hanging="360" w:left="3600"/>
      </w:pPr>
      <w:rPr>
        <w:rFonts w:ascii="Noto Sans Symbols" w:hAnsi="Noto Sans Symbols" w:eastAsia="Noto Sans Symbols" w:cs="Noto Sans Symbols"/>
        <w:sz w:val="20"/>
        <w:szCs w:val="20"/>
      </w:rPr>
      <w:start w:val="1"/>
      <w:suff w:val="tab"/>
    </w:lvl>
    <w:lvl w:ilvl="5">
      <w:isLgl w:val="false"/>
      <w:lvlJc w:val="left"/>
      <w:lvlText w:val="▪"/>
      <w:numFmt w:val="bullet"/>
      <w:pPr>
        <w:pBdr/>
        <w:spacing/>
        <w:ind w:hanging="360" w:left="4320"/>
      </w:pPr>
      <w:rPr>
        <w:rFonts w:ascii="Noto Sans Symbols" w:hAnsi="Noto Sans Symbols" w:eastAsia="Noto Sans Symbols" w:cs="Noto Sans Symbols"/>
        <w:sz w:val="20"/>
        <w:szCs w:val="20"/>
      </w:rPr>
      <w:start w:val="1"/>
      <w:suff w:val="tab"/>
    </w:lvl>
    <w:lvl w:ilvl="6">
      <w:isLgl w:val="false"/>
      <w:lvlJc w:val="left"/>
      <w:lvlText w:val="▪"/>
      <w:numFmt w:val="bullet"/>
      <w:pPr>
        <w:pBdr/>
        <w:spacing/>
        <w:ind w:hanging="360" w:left="5040"/>
      </w:pPr>
      <w:rPr>
        <w:rFonts w:ascii="Noto Sans Symbols" w:hAnsi="Noto Sans Symbols" w:eastAsia="Noto Sans Symbols" w:cs="Noto Sans Symbols"/>
        <w:sz w:val="20"/>
        <w:szCs w:val="20"/>
      </w:rPr>
      <w:start w:val="1"/>
      <w:suff w:val="tab"/>
    </w:lvl>
    <w:lvl w:ilvl="7">
      <w:isLgl w:val="false"/>
      <w:lvlJc w:val="left"/>
      <w:lvlText w:val="▪"/>
      <w:numFmt w:val="bullet"/>
      <w:pPr>
        <w:pBdr/>
        <w:spacing/>
        <w:ind w:hanging="360" w:left="5760"/>
      </w:pPr>
      <w:rPr>
        <w:rFonts w:ascii="Noto Sans Symbols" w:hAnsi="Noto Sans Symbols" w:eastAsia="Noto Sans Symbols" w:cs="Noto Sans Symbols"/>
        <w:sz w:val="20"/>
        <w:szCs w:val="20"/>
      </w:rPr>
      <w:start w:val="1"/>
      <w:suff w:val="tab"/>
    </w:lvl>
    <w:lvl w:ilvl="8">
      <w:isLgl w:val="false"/>
      <w:lvlJc w:val="left"/>
      <w:lvlText w:val="▪"/>
      <w:numFmt w:val="bullet"/>
      <w:pPr>
        <w:pBdr/>
        <w:spacing/>
        <w:ind w:hanging="360" w:left="6480"/>
      </w:pPr>
      <w:rPr>
        <w:rFonts w:ascii="Noto Sans Symbols" w:hAnsi="Noto Sans Symbols" w:eastAsia="Noto Sans Symbols" w:cs="Noto Sans Symbols"/>
        <w:sz w:val="20"/>
        <w:szCs w:val="20"/>
      </w:rPr>
      <w:start w:val="1"/>
      <w:suff w:val="tab"/>
    </w:lvl>
  </w:abstractNum>
  <w:abstractNum w:abstractNumId="12">
    <w:nsid w:val="25E62002"/>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Wingdings" w:hAnsi="Wingdings" w:eastAsia="Wingdings" w:cs="Wingdings"/>
      </w:rPr>
      <w:start w:val="1"/>
      <w:suff w:val="tab"/>
    </w:lvl>
    <w:lvl w:ilvl="4">
      <w:isLgl w:val="false"/>
      <w:lvlJc w:val="left"/>
      <w:lvlText w:val=""/>
      <w:numFmt w:val="bullet"/>
      <w:pPr>
        <w:pBdr/>
        <w:spacing/>
        <w:ind w:hanging="360" w:left="3600"/>
      </w:pPr>
      <w:rPr>
        <w:rFonts w:hint="default" w:ascii="Wingdings" w:hAnsi="Wingdings" w:eastAsia="Wingdings" w:cs="Wingdings"/>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Wingdings" w:hAnsi="Wingdings" w:eastAsia="Wingdings" w:cs="Wingdings"/>
      </w:rPr>
      <w:start w:val="1"/>
      <w:suff w:val="tab"/>
    </w:lvl>
    <w:lvl w:ilvl="7">
      <w:isLgl w:val="false"/>
      <w:lvlJc w:val="left"/>
      <w:lvlText w:val=""/>
      <w:numFmt w:val="bullet"/>
      <w:pPr>
        <w:pBdr/>
        <w:spacing/>
        <w:ind w:hanging="360" w:left="5760"/>
      </w:pPr>
      <w:rPr>
        <w:rFonts w:hint="default" w:ascii="Wingdings" w:hAnsi="Wingdings" w:eastAsia="Wingdings" w:cs="Wingdings"/>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3">
    <w:nsid w:val="26524048"/>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14">
    <w:nsid w:val="29253657"/>
    <w:lvl w:ilvl="0">
      <w:isLgl w:val="false"/>
      <w:lvlJc w:val="left"/>
      <w:lvlText w:val="●"/>
      <w:numFmt w:val="bullet"/>
      <w:pPr>
        <w:pBdr/>
        <w:spacing/>
        <w:ind w:hanging="360" w:left="720"/>
      </w:pPr>
      <w:rPr>
        <w:rFonts w:ascii="Noto Sans Symbols" w:hAnsi="Noto Sans Symbols" w:eastAsia="Noto Sans Symbols" w:cs="Noto Sans Symbols"/>
        <w:sz w:val="20"/>
        <w:szCs w:val="20"/>
      </w:rPr>
      <w:start w:val="1"/>
      <w:suff w:val="tab"/>
    </w:lvl>
    <w:lvl w:ilvl="1">
      <w:isLgl w:val="false"/>
      <w:lvlJc w:val="left"/>
      <w:lvlText w:val="o"/>
      <w:numFmt w:val="bullet"/>
      <w:pPr>
        <w:pBdr/>
        <w:spacing/>
        <w:ind w:hanging="360" w:left="1440"/>
      </w:pPr>
      <w:rPr>
        <w:rFonts w:ascii="Courier New" w:hAnsi="Courier New" w:eastAsia="Courier New" w:cs="Courier New"/>
        <w:sz w:val="20"/>
        <w:szCs w:val="20"/>
      </w:rPr>
      <w:start w:val="1"/>
      <w:suff w:val="tab"/>
    </w:lvl>
    <w:lvl w:ilvl="2">
      <w:isLgl w:val="false"/>
      <w:lvlJc w:val="left"/>
      <w:lvlText w:val="▪"/>
      <w:numFmt w:val="bullet"/>
      <w:pPr>
        <w:pBdr/>
        <w:spacing/>
        <w:ind w:hanging="360" w:left="2160"/>
      </w:pPr>
      <w:rPr>
        <w:rFonts w:ascii="Noto Sans Symbols" w:hAnsi="Noto Sans Symbols" w:eastAsia="Noto Sans Symbols" w:cs="Noto Sans Symbols"/>
        <w:sz w:val="20"/>
        <w:szCs w:val="20"/>
      </w:rPr>
      <w:start w:val="1"/>
      <w:suff w:val="tab"/>
    </w:lvl>
    <w:lvl w:ilvl="3">
      <w:isLgl w:val="false"/>
      <w:lvlJc w:val="left"/>
      <w:lvlText w:val="▪"/>
      <w:numFmt w:val="bullet"/>
      <w:pPr>
        <w:pBdr/>
        <w:spacing/>
        <w:ind w:hanging="360" w:left="2880"/>
      </w:pPr>
      <w:rPr>
        <w:rFonts w:ascii="Noto Sans Symbols" w:hAnsi="Noto Sans Symbols" w:eastAsia="Noto Sans Symbols" w:cs="Noto Sans Symbols"/>
        <w:sz w:val="20"/>
        <w:szCs w:val="20"/>
      </w:rPr>
      <w:start w:val="1"/>
      <w:suff w:val="tab"/>
    </w:lvl>
    <w:lvl w:ilvl="4">
      <w:isLgl w:val="false"/>
      <w:lvlJc w:val="left"/>
      <w:lvlText w:val="▪"/>
      <w:numFmt w:val="bullet"/>
      <w:pPr>
        <w:pBdr/>
        <w:spacing/>
        <w:ind w:hanging="360" w:left="3600"/>
      </w:pPr>
      <w:rPr>
        <w:rFonts w:ascii="Noto Sans Symbols" w:hAnsi="Noto Sans Symbols" w:eastAsia="Noto Sans Symbols" w:cs="Noto Sans Symbols"/>
        <w:sz w:val="20"/>
        <w:szCs w:val="20"/>
      </w:rPr>
      <w:start w:val="1"/>
      <w:suff w:val="tab"/>
    </w:lvl>
    <w:lvl w:ilvl="5">
      <w:isLgl w:val="false"/>
      <w:lvlJc w:val="left"/>
      <w:lvlText w:val="▪"/>
      <w:numFmt w:val="bullet"/>
      <w:pPr>
        <w:pBdr/>
        <w:spacing/>
        <w:ind w:hanging="360" w:left="4320"/>
      </w:pPr>
      <w:rPr>
        <w:rFonts w:ascii="Noto Sans Symbols" w:hAnsi="Noto Sans Symbols" w:eastAsia="Noto Sans Symbols" w:cs="Noto Sans Symbols"/>
        <w:sz w:val="20"/>
        <w:szCs w:val="20"/>
      </w:rPr>
      <w:start w:val="1"/>
      <w:suff w:val="tab"/>
    </w:lvl>
    <w:lvl w:ilvl="6">
      <w:isLgl w:val="false"/>
      <w:lvlJc w:val="left"/>
      <w:lvlText w:val="▪"/>
      <w:numFmt w:val="bullet"/>
      <w:pPr>
        <w:pBdr/>
        <w:spacing/>
        <w:ind w:hanging="360" w:left="5040"/>
      </w:pPr>
      <w:rPr>
        <w:rFonts w:ascii="Noto Sans Symbols" w:hAnsi="Noto Sans Symbols" w:eastAsia="Noto Sans Symbols" w:cs="Noto Sans Symbols"/>
        <w:sz w:val="20"/>
        <w:szCs w:val="20"/>
      </w:rPr>
      <w:start w:val="1"/>
      <w:suff w:val="tab"/>
    </w:lvl>
    <w:lvl w:ilvl="7">
      <w:isLgl w:val="false"/>
      <w:lvlJc w:val="left"/>
      <w:lvlText w:val="▪"/>
      <w:numFmt w:val="bullet"/>
      <w:pPr>
        <w:pBdr/>
        <w:spacing/>
        <w:ind w:hanging="360" w:left="5760"/>
      </w:pPr>
      <w:rPr>
        <w:rFonts w:ascii="Noto Sans Symbols" w:hAnsi="Noto Sans Symbols" w:eastAsia="Noto Sans Symbols" w:cs="Noto Sans Symbols"/>
        <w:sz w:val="20"/>
        <w:szCs w:val="20"/>
      </w:rPr>
      <w:start w:val="1"/>
      <w:suff w:val="tab"/>
    </w:lvl>
    <w:lvl w:ilvl="8">
      <w:isLgl w:val="false"/>
      <w:lvlJc w:val="left"/>
      <w:lvlText w:val="▪"/>
      <w:numFmt w:val="bullet"/>
      <w:pPr>
        <w:pBdr/>
        <w:spacing/>
        <w:ind w:hanging="360" w:left="6480"/>
      </w:pPr>
      <w:rPr>
        <w:rFonts w:ascii="Noto Sans Symbols" w:hAnsi="Noto Sans Symbols" w:eastAsia="Noto Sans Symbols" w:cs="Noto Sans Symbols"/>
        <w:sz w:val="20"/>
        <w:szCs w:val="20"/>
      </w:rPr>
      <w:start w:val="1"/>
      <w:suff w:val="tab"/>
    </w:lvl>
  </w:abstractNum>
  <w:abstractNum w:abstractNumId="15">
    <w:nsid w:val="295A24FD"/>
    <w:lvl w:ilvl="0">
      <w:isLgl w:val="false"/>
      <w:lvlJc w:val="left"/>
      <w:lvlText w:val="·"/>
      <w:numFmt w:val="bullet"/>
      <w:pPr>
        <w:pBdr/>
        <w:spacing/>
        <w:ind w:hanging="360" w:left="720"/>
      </w:pPr>
      <w:rPr>
        <w:rFonts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6">
    <w:nsid w:val="299A417C"/>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7">
    <w:nsid w:val="33767824"/>
    <w:lvl w:ilvl="0">
      <w:isLgl w:val="false"/>
      <w:lvlJc w:val="left"/>
      <w:lvlText w:val="●"/>
      <w:numFmt w:val="bullet"/>
      <w:pPr>
        <w:pBdr/>
        <w:spacing/>
        <w:ind w:hanging="360" w:left="720"/>
      </w:pPr>
      <w:rPr>
        <w:rFonts w:ascii="Noto Sans Symbols" w:hAnsi="Noto Sans Symbols" w:eastAsia="Noto Sans Symbols" w:cs="Noto Sans Symbols"/>
        <w:sz w:val="20"/>
        <w:szCs w:val="20"/>
      </w:rPr>
      <w:start w:val="1"/>
      <w:suff w:val="tab"/>
    </w:lvl>
    <w:lvl w:ilvl="1">
      <w:isLgl w:val="false"/>
      <w:lvlJc w:val="left"/>
      <w:lvlText w:val="o"/>
      <w:numFmt w:val="bullet"/>
      <w:pPr>
        <w:pBdr/>
        <w:spacing/>
        <w:ind w:hanging="360" w:left="1440"/>
      </w:pPr>
      <w:rPr>
        <w:rFonts w:ascii="Courier New" w:hAnsi="Courier New" w:eastAsia="Courier New" w:cs="Courier New"/>
        <w:sz w:val="20"/>
        <w:szCs w:val="20"/>
      </w:rPr>
      <w:start w:val="1"/>
      <w:suff w:val="tab"/>
    </w:lvl>
    <w:lvl w:ilvl="2">
      <w:isLgl w:val="false"/>
      <w:lvlJc w:val="left"/>
      <w:lvlText w:val="▪"/>
      <w:numFmt w:val="bullet"/>
      <w:pPr>
        <w:pBdr/>
        <w:spacing/>
        <w:ind w:hanging="360" w:left="2160"/>
      </w:pPr>
      <w:rPr>
        <w:rFonts w:ascii="Noto Sans Symbols" w:hAnsi="Noto Sans Symbols" w:eastAsia="Noto Sans Symbols" w:cs="Noto Sans Symbols"/>
        <w:sz w:val="20"/>
        <w:szCs w:val="20"/>
      </w:rPr>
      <w:start w:val="1"/>
      <w:suff w:val="tab"/>
    </w:lvl>
    <w:lvl w:ilvl="3">
      <w:isLgl w:val="false"/>
      <w:lvlJc w:val="left"/>
      <w:lvlText w:val="▪"/>
      <w:numFmt w:val="bullet"/>
      <w:pPr>
        <w:pBdr/>
        <w:spacing/>
        <w:ind w:hanging="360" w:left="2880"/>
      </w:pPr>
      <w:rPr>
        <w:rFonts w:ascii="Noto Sans Symbols" w:hAnsi="Noto Sans Symbols" w:eastAsia="Noto Sans Symbols" w:cs="Noto Sans Symbols"/>
        <w:sz w:val="20"/>
        <w:szCs w:val="20"/>
      </w:rPr>
      <w:start w:val="1"/>
      <w:suff w:val="tab"/>
    </w:lvl>
    <w:lvl w:ilvl="4">
      <w:isLgl w:val="false"/>
      <w:lvlJc w:val="left"/>
      <w:lvlText w:val="▪"/>
      <w:numFmt w:val="bullet"/>
      <w:pPr>
        <w:pBdr/>
        <w:spacing/>
        <w:ind w:hanging="360" w:left="3600"/>
      </w:pPr>
      <w:rPr>
        <w:rFonts w:ascii="Noto Sans Symbols" w:hAnsi="Noto Sans Symbols" w:eastAsia="Noto Sans Symbols" w:cs="Noto Sans Symbols"/>
        <w:sz w:val="20"/>
        <w:szCs w:val="20"/>
      </w:rPr>
      <w:start w:val="1"/>
      <w:suff w:val="tab"/>
    </w:lvl>
    <w:lvl w:ilvl="5">
      <w:isLgl w:val="false"/>
      <w:lvlJc w:val="left"/>
      <w:lvlText w:val="▪"/>
      <w:numFmt w:val="bullet"/>
      <w:pPr>
        <w:pBdr/>
        <w:spacing/>
        <w:ind w:hanging="360" w:left="4320"/>
      </w:pPr>
      <w:rPr>
        <w:rFonts w:ascii="Noto Sans Symbols" w:hAnsi="Noto Sans Symbols" w:eastAsia="Noto Sans Symbols" w:cs="Noto Sans Symbols"/>
        <w:sz w:val="20"/>
        <w:szCs w:val="20"/>
      </w:rPr>
      <w:start w:val="1"/>
      <w:suff w:val="tab"/>
    </w:lvl>
    <w:lvl w:ilvl="6">
      <w:isLgl w:val="false"/>
      <w:lvlJc w:val="left"/>
      <w:lvlText w:val="▪"/>
      <w:numFmt w:val="bullet"/>
      <w:pPr>
        <w:pBdr/>
        <w:spacing/>
        <w:ind w:hanging="360" w:left="5040"/>
      </w:pPr>
      <w:rPr>
        <w:rFonts w:ascii="Noto Sans Symbols" w:hAnsi="Noto Sans Symbols" w:eastAsia="Noto Sans Symbols" w:cs="Noto Sans Symbols"/>
        <w:sz w:val="20"/>
        <w:szCs w:val="20"/>
      </w:rPr>
      <w:start w:val="1"/>
      <w:suff w:val="tab"/>
    </w:lvl>
    <w:lvl w:ilvl="7">
      <w:isLgl w:val="false"/>
      <w:lvlJc w:val="left"/>
      <w:lvlText w:val="▪"/>
      <w:numFmt w:val="bullet"/>
      <w:pPr>
        <w:pBdr/>
        <w:spacing/>
        <w:ind w:hanging="360" w:left="5760"/>
      </w:pPr>
      <w:rPr>
        <w:rFonts w:ascii="Noto Sans Symbols" w:hAnsi="Noto Sans Symbols" w:eastAsia="Noto Sans Symbols" w:cs="Noto Sans Symbols"/>
        <w:sz w:val="20"/>
        <w:szCs w:val="20"/>
      </w:rPr>
      <w:start w:val="1"/>
      <w:suff w:val="tab"/>
    </w:lvl>
    <w:lvl w:ilvl="8">
      <w:isLgl w:val="false"/>
      <w:lvlJc w:val="left"/>
      <w:lvlText w:val="▪"/>
      <w:numFmt w:val="bullet"/>
      <w:pPr>
        <w:pBdr/>
        <w:spacing/>
        <w:ind w:hanging="360" w:left="6480"/>
      </w:pPr>
      <w:rPr>
        <w:rFonts w:ascii="Noto Sans Symbols" w:hAnsi="Noto Sans Symbols" w:eastAsia="Noto Sans Symbols" w:cs="Noto Sans Symbols"/>
        <w:sz w:val="20"/>
        <w:szCs w:val="20"/>
      </w:rPr>
      <w:start w:val="1"/>
      <w:suff w:val="tab"/>
    </w:lvl>
  </w:abstractNum>
  <w:abstractNum w:abstractNumId="18">
    <w:nsid w:val="34E6199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9">
    <w:nsid w:val="36173C3D"/>
    <w:lvl w:ilvl="0">
      <w:isLgl w:val="false"/>
      <w:lvlJc w:val="left"/>
      <w:lvlText w:val="%1"/>
      <w:numFmt w:val="decimal"/>
      <w:pPr>
        <w:pBdr/>
        <w:spacing/>
        <w:ind w:hanging="360" w:left="1070"/>
      </w:pPr>
      <w:rPr>
        <w:b w:val="0"/>
        <w:i/>
        <w:sz w:val="16"/>
        <w:szCs w:val="16"/>
      </w:rPr>
      <w:start w:val="200"/>
      <w:suff w:val="tab"/>
    </w:lvl>
    <w:lvl w:ilvl="1">
      <w:isLgl w:val="false"/>
      <w:lvlJc w:val="left"/>
      <w:lvlText w:val="%2."/>
      <w:numFmt w:val="lowerLetter"/>
      <w:pPr>
        <w:pBdr/>
        <w:spacing/>
        <w:ind w:hanging="360" w:left="1790"/>
      </w:pPr>
      <w:rPr/>
      <w:start w:val="1"/>
      <w:suff w:val="tab"/>
    </w:lvl>
    <w:lvl w:ilvl="2">
      <w:isLgl w:val="false"/>
      <w:lvlJc w:val="right"/>
      <w:lvlText w:val="%3."/>
      <w:numFmt w:val="lowerRoman"/>
      <w:pPr>
        <w:pBdr/>
        <w:spacing/>
        <w:ind w:hanging="180" w:left="2510"/>
      </w:pPr>
      <w:rPr/>
      <w:start w:val="1"/>
      <w:suff w:val="tab"/>
    </w:lvl>
    <w:lvl w:ilvl="3">
      <w:isLgl w:val="false"/>
      <w:lvlJc w:val="left"/>
      <w:lvlText w:val="%4."/>
      <w:numFmt w:val="decimal"/>
      <w:pPr>
        <w:pBdr/>
        <w:spacing/>
        <w:ind w:hanging="360" w:left="3230"/>
      </w:pPr>
      <w:rPr/>
      <w:start w:val="1"/>
      <w:suff w:val="tab"/>
    </w:lvl>
    <w:lvl w:ilvl="4">
      <w:isLgl w:val="false"/>
      <w:lvlJc w:val="left"/>
      <w:lvlText w:val="%5."/>
      <w:numFmt w:val="lowerLetter"/>
      <w:pPr>
        <w:pBdr/>
        <w:spacing/>
        <w:ind w:hanging="360" w:left="3950"/>
      </w:pPr>
      <w:rPr/>
      <w:start w:val="1"/>
      <w:suff w:val="tab"/>
    </w:lvl>
    <w:lvl w:ilvl="5">
      <w:isLgl w:val="false"/>
      <w:lvlJc w:val="right"/>
      <w:lvlText w:val="%6."/>
      <w:numFmt w:val="lowerRoman"/>
      <w:pPr>
        <w:pBdr/>
        <w:spacing/>
        <w:ind w:hanging="180" w:left="4670"/>
      </w:pPr>
      <w:rPr/>
      <w:start w:val="1"/>
      <w:suff w:val="tab"/>
    </w:lvl>
    <w:lvl w:ilvl="6">
      <w:isLgl w:val="false"/>
      <w:lvlJc w:val="left"/>
      <w:lvlText w:val="%7."/>
      <w:numFmt w:val="decimal"/>
      <w:pPr>
        <w:pBdr/>
        <w:spacing/>
        <w:ind w:hanging="360" w:left="5390"/>
      </w:pPr>
      <w:rPr/>
      <w:start w:val="1"/>
      <w:suff w:val="tab"/>
    </w:lvl>
    <w:lvl w:ilvl="7">
      <w:isLgl w:val="false"/>
      <w:lvlJc w:val="left"/>
      <w:lvlText w:val="%8."/>
      <w:numFmt w:val="lowerLetter"/>
      <w:pPr>
        <w:pBdr/>
        <w:spacing/>
        <w:ind w:hanging="360" w:left="6110"/>
      </w:pPr>
      <w:rPr/>
      <w:start w:val="1"/>
      <w:suff w:val="tab"/>
    </w:lvl>
    <w:lvl w:ilvl="8">
      <w:isLgl w:val="false"/>
      <w:lvlJc w:val="right"/>
      <w:lvlText w:val="%9."/>
      <w:numFmt w:val="lowerRoman"/>
      <w:pPr>
        <w:pBdr/>
        <w:spacing/>
        <w:ind w:hanging="180" w:left="6830"/>
      </w:pPr>
      <w:rPr/>
      <w:start w:val="1"/>
      <w:suff w:val="tab"/>
    </w:lvl>
  </w:abstractNum>
  <w:abstractNum w:abstractNumId="20">
    <w:nsid w:val="3F5D122F"/>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1">
    <w:nsid w:val="3F643320"/>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22">
    <w:nsid w:val="3F9E6010"/>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408158A2"/>
    <w:lvl w:ilvl="0">
      <w:isLgl w:val="false"/>
      <w:lvlJc w:val="left"/>
      <w:lvlText w:val="-"/>
      <w:numFmt w:val="bullet"/>
      <w:pPr>
        <w:pBdr/>
        <w:spacing/>
        <w:ind w:hanging="360" w:left="720"/>
      </w:pPr>
      <w:rPr>
        <w:rFonts w:hint="default" w:ascii="Calibri Light" w:hAnsi="Calibri Light" w:eastAsia="Liberation Sans" w:cs="Calibri Light"/>
      </w:rPr>
      <w:start w:val="6"/>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40BF290B"/>
    <w:lvl w:ilvl="0">
      <w:isLgl w:val="false"/>
      <w:lvlJc w:val="left"/>
      <w:lvlText w:val="-"/>
      <w:numFmt w:val="bullet"/>
      <w:pPr>
        <w:pBdr/>
        <w:spacing/>
        <w:ind w:hanging="360" w:left="720"/>
      </w:pPr>
      <w:rPr>
        <w:rFonts w:ascii="Liberation Sans" w:hAnsi="Liberation Sans" w:eastAsia="Liberation Sans" w:cs="Liberation Sans"/>
      </w:rPr>
      <w:start w:val="200"/>
      <w:suff w:val="tab"/>
    </w:lvl>
    <w:lvl w:ilvl="1">
      <w:isLgl w:val="false"/>
      <w:lvlJc w:val="left"/>
      <w:lvlText w:val="o"/>
      <w:numFmt w:val="bullet"/>
      <w:pPr>
        <w:pBdr/>
        <w:spacing/>
        <w:ind w:hanging="360" w:left="1440"/>
      </w:pPr>
      <w:rPr>
        <w:rFonts w:ascii="Courier New" w:hAnsi="Courier New" w:eastAsia="Courier New" w:cs="Courier New"/>
      </w:rPr>
      <w:start w:val="1"/>
      <w:suff w:val="tab"/>
    </w:lvl>
    <w:lvl w:ilvl="2">
      <w:isLgl w:val="false"/>
      <w:lvlJc w:val="left"/>
      <w:lvlText w:val="▪"/>
      <w:numFmt w:val="bullet"/>
      <w:pPr>
        <w:pBdr/>
        <w:spacing/>
        <w:ind w:hanging="360" w:left="2160"/>
      </w:pPr>
      <w:rPr>
        <w:rFonts w:ascii="Noto Sans Symbols" w:hAnsi="Noto Sans Symbols" w:eastAsia="Noto Sans Symbols" w:cs="Noto Sans Symbols"/>
      </w:rPr>
      <w:start w:val="1"/>
      <w:suff w:val="tab"/>
    </w:lvl>
    <w:lvl w:ilvl="3">
      <w:isLgl w:val="false"/>
      <w:lvlJc w:val="left"/>
      <w:lvlText w:val="●"/>
      <w:numFmt w:val="bullet"/>
      <w:pPr>
        <w:pBdr/>
        <w:spacing/>
        <w:ind w:hanging="360" w:left="2880"/>
      </w:pPr>
      <w:rPr>
        <w:rFonts w:ascii="Noto Sans Symbols" w:hAnsi="Noto Sans Symbols" w:eastAsia="Noto Sans Symbols" w:cs="Noto Sans Symbols"/>
      </w:rPr>
      <w:start w:val="1"/>
      <w:suff w:val="tab"/>
    </w:lvl>
    <w:lvl w:ilvl="4">
      <w:isLgl w:val="false"/>
      <w:lvlJc w:val="left"/>
      <w:lvlText w:val="o"/>
      <w:numFmt w:val="bullet"/>
      <w:pPr>
        <w:pBdr/>
        <w:spacing/>
        <w:ind w:hanging="360" w:left="3600"/>
      </w:pPr>
      <w:rPr>
        <w:rFonts w:ascii="Courier New" w:hAnsi="Courier New" w:eastAsia="Courier New" w:cs="Courier New"/>
      </w:rPr>
      <w:start w:val="1"/>
      <w:suff w:val="tab"/>
    </w:lvl>
    <w:lvl w:ilvl="5">
      <w:isLgl w:val="false"/>
      <w:lvlJc w:val="left"/>
      <w:lvlText w:val="▪"/>
      <w:numFmt w:val="bullet"/>
      <w:pPr>
        <w:pBdr/>
        <w:spacing/>
        <w:ind w:hanging="360" w:left="4320"/>
      </w:pPr>
      <w:rPr>
        <w:rFonts w:ascii="Noto Sans Symbols" w:hAnsi="Noto Sans Symbols" w:eastAsia="Noto Sans Symbols" w:cs="Noto Sans Symbols"/>
      </w:rPr>
      <w:start w:val="1"/>
      <w:suff w:val="tab"/>
    </w:lvl>
    <w:lvl w:ilvl="6">
      <w:isLgl w:val="false"/>
      <w:lvlJc w:val="left"/>
      <w:lvlText w:val="●"/>
      <w:numFmt w:val="bullet"/>
      <w:pPr>
        <w:pBdr/>
        <w:spacing/>
        <w:ind w:hanging="360" w:left="5040"/>
      </w:pPr>
      <w:rPr>
        <w:rFonts w:ascii="Noto Sans Symbols" w:hAnsi="Noto Sans Symbols" w:eastAsia="Noto Sans Symbols" w:cs="Noto Sans Symbols"/>
      </w:rPr>
      <w:start w:val="1"/>
      <w:suff w:val="tab"/>
    </w:lvl>
    <w:lvl w:ilvl="7">
      <w:isLgl w:val="false"/>
      <w:lvlJc w:val="left"/>
      <w:lvlText w:val="o"/>
      <w:numFmt w:val="bullet"/>
      <w:pPr>
        <w:pBdr/>
        <w:spacing/>
        <w:ind w:hanging="360" w:left="5760"/>
      </w:pPr>
      <w:rPr>
        <w:rFonts w:ascii="Courier New" w:hAnsi="Courier New" w:eastAsia="Courier New" w:cs="Courier New"/>
      </w:rPr>
      <w:start w:val="1"/>
      <w:suff w:val="tab"/>
    </w:lvl>
    <w:lvl w:ilvl="8">
      <w:isLgl w:val="false"/>
      <w:lvlJc w:val="left"/>
      <w:lvlText w:val="▪"/>
      <w:numFmt w:val="bullet"/>
      <w:pPr>
        <w:pBdr/>
        <w:spacing/>
        <w:ind w:hanging="360" w:left="6480"/>
      </w:pPr>
      <w:rPr>
        <w:rFonts w:ascii="Noto Sans Symbols" w:hAnsi="Noto Sans Symbols" w:eastAsia="Noto Sans Symbols" w:cs="Noto Sans Symbols"/>
      </w:rPr>
      <w:start w:val="1"/>
      <w:suff w:val="tab"/>
    </w:lvl>
  </w:abstractNum>
  <w:abstractNum w:abstractNumId="25">
    <w:nsid w:val="454663A5"/>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26">
    <w:nsid w:val="4F971E68"/>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7">
    <w:nsid w:val="51183CB7"/>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Wingdings" w:hAnsi="Wingdings" w:eastAsia="Wingdings" w:cs="Wingdings"/>
      </w:rPr>
      <w:start w:val="1"/>
      <w:suff w:val="tab"/>
    </w:lvl>
    <w:lvl w:ilvl="4">
      <w:isLgl w:val="false"/>
      <w:lvlJc w:val="left"/>
      <w:lvlText w:val=""/>
      <w:numFmt w:val="bullet"/>
      <w:pPr>
        <w:pBdr/>
        <w:spacing/>
        <w:ind w:hanging="360" w:left="3600"/>
      </w:pPr>
      <w:rPr>
        <w:rFonts w:hint="default" w:ascii="Wingdings" w:hAnsi="Wingdings" w:eastAsia="Wingdings" w:cs="Wingdings"/>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Wingdings" w:hAnsi="Wingdings" w:eastAsia="Wingdings" w:cs="Wingdings"/>
      </w:rPr>
      <w:start w:val="1"/>
      <w:suff w:val="tab"/>
    </w:lvl>
    <w:lvl w:ilvl="7">
      <w:isLgl w:val="false"/>
      <w:lvlJc w:val="left"/>
      <w:lvlText w:val=""/>
      <w:numFmt w:val="bullet"/>
      <w:pPr>
        <w:pBdr/>
        <w:spacing/>
        <w:ind w:hanging="360" w:left="5760"/>
      </w:pPr>
      <w:rPr>
        <w:rFonts w:hint="default" w:ascii="Wingdings" w:hAnsi="Wingdings" w:eastAsia="Wingdings" w:cs="Wingdings"/>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28">
    <w:nsid w:val="527B11FA"/>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9">
    <w:nsid w:val="54551751"/>
    <w:lvl w:ilvl="0">
      <w:isLgl w:val="false"/>
      <w:lvlJc w:val="left"/>
      <w:lvlText w:val=""/>
      <w:numFmt w:val="decimal"/>
      <w:pPr>
        <w:pBdr/>
        <w:spacing/>
        <w:ind w:hanging="432" w:left="432"/>
      </w:pPr>
      <w:rPr/>
      <w:start w:val="1"/>
      <w:suff w:val="tab"/>
    </w:lvl>
    <w:lvl w:ilvl="1">
      <w:isLgl w:val="false"/>
      <w:lvlJc w:val="left"/>
      <w:lvlText w:val=""/>
      <w:numFmt w:val="decimal"/>
      <w:pPr>
        <w:pBdr/>
        <w:spacing/>
        <w:ind w:hanging="576" w:left="576"/>
      </w:pPr>
      <w:rPr/>
      <w:start w:val="1"/>
      <w:suff w:val="tab"/>
    </w:lvl>
    <w:lvl w:ilvl="2">
      <w:isLgl w:val="false"/>
      <w:lvlJc w:val="left"/>
      <w:lvlText w:val=""/>
      <w:numFmt w:val="decimal"/>
      <w:pPr>
        <w:pBdr/>
        <w:spacing/>
        <w:ind w:hanging="720" w:left="720"/>
      </w:pPr>
      <w:rPr/>
      <w:start w:val="1"/>
      <w:suff w:val="tab"/>
    </w:lvl>
    <w:lvl w:ilvl="3">
      <w:isLgl w:val="false"/>
      <w:lvlJc w:val="left"/>
      <w:lvlText w:val=""/>
      <w:numFmt w:val="decimal"/>
      <w:pPr>
        <w:pBdr/>
        <w:spacing/>
        <w:ind w:hanging="864" w:left="864"/>
      </w:pPr>
      <w:rPr/>
      <w:start w:val="1"/>
      <w:suff w:val="tab"/>
    </w:lvl>
    <w:lvl w:ilvl="4">
      <w:isLgl w:val="false"/>
      <w:lvlJc w:val="left"/>
      <w:lvlText w:val=""/>
      <w:numFmt w:val="decimal"/>
      <w:pPr>
        <w:pBdr/>
        <w:spacing/>
        <w:ind w:hanging="1008" w:left="1008"/>
      </w:pPr>
      <w:rPr/>
      <w:start w:val="1"/>
      <w:suff w:val="tab"/>
    </w:lvl>
    <w:lvl w:ilvl="5">
      <w:isLgl w:val="false"/>
      <w:lvlJc w:val="left"/>
      <w:lvlText w:val=""/>
      <w:numFmt w:val="decimal"/>
      <w:pPr>
        <w:pBdr/>
        <w:spacing/>
        <w:ind w:hanging="1152" w:left="1152"/>
      </w:pPr>
      <w:rPr/>
      <w:start w:val="1"/>
      <w:suff w:val="tab"/>
    </w:lvl>
    <w:lvl w:ilvl="6">
      <w:isLgl w:val="false"/>
      <w:lvlJc w:val="left"/>
      <w:lvlText w:val=""/>
      <w:numFmt w:val="decimal"/>
      <w:pPr>
        <w:pBdr/>
        <w:spacing/>
        <w:ind w:hanging="1296" w:left="1296"/>
      </w:pPr>
      <w:rPr/>
      <w:start w:val="1"/>
      <w:suff w:val="tab"/>
    </w:lvl>
    <w:lvl w:ilvl="7">
      <w:isLgl w:val="false"/>
      <w:lvlJc w:val="left"/>
      <w:lvlText w:val=""/>
      <w:numFmt w:val="decimal"/>
      <w:pPr>
        <w:pBdr/>
        <w:spacing/>
        <w:ind w:hanging="1440" w:left="1440"/>
      </w:pPr>
      <w:rPr/>
      <w:start w:val="1"/>
      <w:suff w:val="tab"/>
    </w:lvl>
    <w:lvl w:ilvl="8">
      <w:isLgl w:val="false"/>
      <w:lvlJc w:val="left"/>
      <w:lvlText w:val=""/>
      <w:numFmt w:val="decimal"/>
      <w:pPr>
        <w:pBdr/>
        <w:spacing/>
        <w:ind w:hanging="1584" w:left="1584"/>
      </w:pPr>
      <w:rPr/>
      <w:start w:val="1"/>
      <w:suff w:val="tab"/>
    </w:lvl>
  </w:abstractNum>
  <w:abstractNum w:abstractNumId="30">
    <w:nsid w:val="59F14154"/>
    <w:lvl w:ilvl="0">
      <w:isLgl w:val="false"/>
      <w:lvlJc w:val="left"/>
      <w:lvlText w:val="-"/>
      <w:numFmt w:val="bullet"/>
      <w:pPr>
        <w:pBdr/>
        <w:spacing/>
        <w:ind w:hanging="360" w:left="720"/>
      </w:pPr>
      <w:rPr>
        <w:rFonts w:ascii="Liberation Sans" w:hAnsi="Liberation Sans" w:eastAsia="Liberation Sans" w:cs="Liberation Sans"/>
      </w:rPr>
      <w:start w:val="5"/>
      <w:suff w:val="tab"/>
    </w:lvl>
    <w:lvl w:ilvl="1">
      <w:isLgl w:val="false"/>
      <w:lvlJc w:val="left"/>
      <w:lvlText w:val="o"/>
      <w:numFmt w:val="bullet"/>
      <w:pPr>
        <w:pBdr/>
        <w:spacing/>
        <w:ind w:hanging="360" w:left="1440"/>
      </w:pPr>
      <w:rPr>
        <w:rFonts w:ascii="Courier New" w:hAnsi="Courier New" w:eastAsia="Courier New" w:cs="Courier New"/>
      </w:rPr>
      <w:start w:val="1"/>
      <w:suff w:val="tab"/>
    </w:lvl>
    <w:lvl w:ilvl="2">
      <w:isLgl w:val="false"/>
      <w:lvlJc w:val="left"/>
      <w:lvlText w:val="▪"/>
      <w:numFmt w:val="bullet"/>
      <w:pPr>
        <w:pBdr/>
        <w:spacing/>
        <w:ind w:hanging="360" w:left="2160"/>
      </w:pPr>
      <w:rPr>
        <w:rFonts w:ascii="Noto Sans Symbols" w:hAnsi="Noto Sans Symbols" w:eastAsia="Noto Sans Symbols" w:cs="Noto Sans Symbols"/>
      </w:rPr>
      <w:start w:val="1"/>
      <w:suff w:val="tab"/>
    </w:lvl>
    <w:lvl w:ilvl="3">
      <w:isLgl w:val="false"/>
      <w:lvlJc w:val="left"/>
      <w:lvlText w:val="●"/>
      <w:numFmt w:val="bullet"/>
      <w:pPr>
        <w:pBdr/>
        <w:spacing/>
        <w:ind w:hanging="360" w:left="2880"/>
      </w:pPr>
      <w:rPr>
        <w:rFonts w:ascii="Noto Sans Symbols" w:hAnsi="Noto Sans Symbols" w:eastAsia="Noto Sans Symbols" w:cs="Noto Sans Symbols"/>
      </w:rPr>
      <w:start w:val="1"/>
      <w:suff w:val="tab"/>
    </w:lvl>
    <w:lvl w:ilvl="4">
      <w:isLgl w:val="false"/>
      <w:lvlJc w:val="left"/>
      <w:lvlText w:val="o"/>
      <w:numFmt w:val="bullet"/>
      <w:pPr>
        <w:pBdr/>
        <w:spacing/>
        <w:ind w:hanging="360" w:left="3600"/>
      </w:pPr>
      <w:rPr>
        <w:rFonts w:ascii="Courier New" w:hAnsi="Courier New" w:eastAsia="Courier New" w:cs="Courier New"/>
      </w:rPr>
      <w:start w:val="1"/>
      <w:suff w:val="tab"/>
    </w:lvl>
    <w:lvl w:ilvl="5">
      <w:isLgl w:val="false"/>
      <w:lvlJc w:val="left"/>
      <w:lvlText w:val="▪"/>
      <w:numFmt w:val="bullet"/>
      <w:pPr>
        <w:pBdr/>
        <w:spacing/>
        <w:ind w:hanging="360" w:left="4320"/>
      </w:pPr>
      <w:rPr>
        <w:rFonts w:ascii="Noto Sans Symbols" w:hAnsi="Noto Sans Symbols" w:eastAsia="Noto Sans Symbols" w:cs="Noto Sans Symbols"/>
      </w:rPr>
      <w:start w:val="1"/>
      <w:suff w:val="tab"/>
    </w:lvl>
    <w:lvl w:ilvl="6">
      <w:isLgl w:val="false"/>
      <w:lvlJc w:val="left"/>
      <w:lvlText w:val="●"/>
      <w:numFmt w:val="bullet"/>
      <w:pPr>
        <w:pBdr/>
        <w:spacing/>
        <w:ind w:hanging="360" w:left="5040"/>
      </w:pPr>
      <w:rPr>
        <w:rFonts w:ascii="Noto Sans Symbols" w:hAnsi="Noto Sans Symbols" w:eastAsia="Noto Sans Symbols" w:cs="Noto Sans Symbols"/>
      </w:rPr>
      <w:start w:val="1"/>
      <w:suff w:val="tab"/>
    </w:lvl>
    <w:lvl w:ilvl="7">
      <w:isLgl w:val="false"/>
      <w:lvlJc w:val="left"/>
      <w:lvlText w:val="o"/>
      <w:numFmt w:val="bullet"/>
      <w:pPr>
        <w:pBdr/>
        <w:spacing/>
        <w:ind w:hanging="360" w:left="5760"/>
      </w:pPr>
      <w:rPr>
        <w:rFonts w:ascii="Courier New" w:hAnsi="Courier New" w:eastAsia="Courier New" w:cs="Courier New"/>
      </w:rPr>
      <w:start w:val="1"/>
      <w:suff w:val="tab"/>
    </w:lvl>
    <w:lvl w:ilvl="8">
      <w:isLgl w:val="false"/>
      <w:lvlJc w:val="left"/>
      <w:lvlText w:val="▪"/>
      <w:numFmt w:val="bullet"/>
      <w:pPr>
        <w:pBdr/>
        <w:spacing/>
        <w:ind w:hanging="360" w:left="6480"/>
      </w:pPr>
      <w:rPr>
        <w:rFonts w:ascii="Noto Sans Symbols" w:hAnsi="Noto Sans Symbols" w:eastAsia="Noto Sans Symbols" w:cs="Noto Sans Symbols"/>
      </w:rPr>
      <w:start w:val="1"/>
      <w:suff w:val="tab"/>
    </w:lvl>
  </w:abstractNum>
  <w:abstractNum w:abstractNumId="31">
    <w:nsid w:val="5E54792C"/>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Wingdings" w:hAnsi="Wingdings" w:eastAsia="Wingdings" w:cs="Wingdings"/>
      </w:rPr>
      <w:start w:val="1"/>
      <w:suff w:val="tab"/>
    </w:lvl>
    <w:lvl w:ilvl="4">
      <w:isLgl w:val="false"/>
      <w:lvlJc w:val="left"/>
      <w:lvlText w:val=""/>
      <w:numFmt w:val="bullet"/>
      <w:pPr>
        <w:pBdr/>
        <w:spacing/>
        <w:ind w:hanging="360" w:left="3600"/>
      </w:pPr>
      <w:rPr>
        <w:rFonts w:hint="default" w:ascii="Wingdings" w:hAnsi="Wingdings" w:eastAsia="Wingdings" w:cs="Wingdings"/>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Wingdings" w:hAnsi="Wingdings" w:eastAsia="Wingdings" w:cs="Wingdings"/>
      </w:rPr>
      <w:start w:val="1"/>
      <w:suff w:val="tab"/>
    </w:lvl>
    <w:lvl w:ilvl="7">
      <w:isLgl w:val="false"/>
      <w:lvlJc w:val="left"/>
      <w:lvlText w:val=""/>
      <w:numFmt w:val="bullet"/>
      <w:pPr>
        <w:pBdr/>
        <w:spacing/>
        <w:ind w:hanging="360" w:left="5760"/>
      </w:pPr>
      <w:rPr>
        <w:rFonts w:hint="default" w:ascii="Wingdings" w:hAnsi="Wingdings" w:eastAsia="Wingdings" w:cs="Wingdings"/>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2">
    <w:nsid w:val="60236633"/>
    <w:lvl w:ilvl="0">
      <w:isLgl w:val="false"/>
      <w:lvlJc w:val="left"/>
      <w:lvlText w:val="–"/>
      <w:numFmt w:val="bullet"/>
      <w:pPr>
        <w:pBdr/>
        <w:spacing/>
        <w:ind w:hanging="360" w:left="720"/>
      </w:pPr>
      <w:rPr>
        <w:rFonts w:ascii="Arial" w:hAnsi="Arial" w:eastAsia="Arial" w:cs="Aria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3">
    <w:nsid w:val="60E744CF"/>
    <w:lvl w:ilvl="0">
      <w:isLgl w:val="false"/>
      <w:lvlJc w:val="left"/>
      <w:lvlText w:val="-"/>
      <w:numFmt w:val="bullet"/>
      <w:pPr>
        <w:pBdr/>
        <w:spacing/>
        <w:ind w:hanging="360" w:left="720"/>
      </w:pPr>
      <w:rPr>
        <w:rFonts w:ascii="Liberation Sans" w:hAnsi="Liberation Sans" w:eastAsia="Liberation Sans" w:cs="Liberation Sans"/>
      </w:rPr>
      <w:start w:val="200"/>
      <w:suff w:val="tab"/>
    </w:lvl>
    <w:lvl w:ilvl="1">
      <w:isLgl w:val="false"/>
      <w:lvlJc w:val="left"/>
      <w:lvlText w:val="o"/>
      <w:numFmt w:val="bullet"/>
      <w:pPr>
        <w:pBdr/>
        <w:spacing/>
        <w:ind w:hanging="360" w:left="1440"/>
      </w:pPr>
      <w:rPr>
        <w:rFonts w:ascii="Courier New" w:hAnsi="Courier New" w:eastAsia="Courier New" w:cs="Courier New"/>
      </w:rPr>
      <w:start w:val="1"/>
      <w:suff w:val="tab"/>
    </w:lvl>
    <w:lvl w:ilvl="2">
      <w:isLgl w:val="false"/>
      <w:lvlJc w:val="left"/>
      <w:lvlText w:val="▪"/>
      <w:numFmt w:val="bullet"/>
      <w:pPr>
        <w:pBdr/>
        <w:spacing/>
        <w:ind w:hanging="360" w:left="2160"/>
      </w:pPr>
      <w:rPr>
        <w:rFonts w:ascii="Noto Sans Symbols" w:hAnsi="Noto Sans Symbols" w:eastAsia="Noto Sans Symbols" w:cs="Noto Sans Symbols"/>
      </w:rPr>
      <w:start w:val="1"/>
      <w:suff w:val="tab"/>
    </w:lvl>
    <w:lvl w:ilvl="3">
      <w:isLgl w:val="false"/>
      <w:lvlJc w:val="left"/>
      <w:lvlText w:val="●"/>
      <w:numFmt w:val="bullet"/>
      <w:pPr>
        <w:pBdr/>
        <w:spacing/>
        <w:ind w:hanging="360" w:left="2880"/>
      </w:pPr>
      <w:rPr>
        <w:rFonts w:ascii="Noto Sans Symbols" w:hAnsi="Noto Sans Symbols" w:eastAsia="Noto Sans Symbols" w:cs="Noto Sans Symbols"/>
      </w:rPr>
      <w:start w:val="1"/>
      <w:suff w:val="tab"/>
    </w:lvl>
    <w:lvl w:ilvl="4">
      <w:isLgl w:val="false"/>
      <w:lvlJc w:val="left"/>
      <w:lvlText w:val="o"/>
      <w:numFmt w:val="bullet"/>
      <w:pPr>
        <w:pBdr/>
        <w:spacing/>
        <w:ind w:hanging="360" w:left="3600"/>
      </w:pPr>
      <w:rPr>
        <w:rFonts w:ascii="Courier New" w:hAnsi="Courier New" w:eastAsia="Courier New" w:cs="Courier New"/>
      </w:rPr>
      <w:start w:val="1"/>
      <w:suff w:val="tab"/>
    </w:lvl>
    <w:lvl w:ilvl="5">
      <w:isLgl w:val="false"/>
      <w:lvlJc w:val="left"/>
      <w:lvlText w:val="▪"/>
      <w:numFmt w:val="bullet"/>
      <w:pPr>
        <w:pBdr/>
        <w:spacing/>
        <w:ind w:hanging="360" w:left="4320"/>
      </w:pPr>
      <w:rPr>
        <w:rFonts w:ascii="Noto Sans Symbols" w:hAnsi="Noto Sans Symbols" w:eastAsia="Noto Sans Symbols" w:cs="Noto Sans Symbols"/>
      </w:rPr>
      <w:start w:val="1"/>
      <w:suff w:val="tab"/>
    </w:lvl>
    <w:lvl w:ilvl="6">
      <w:isLgl w:val="false"/>
      <w:lvlJc w:val="left"/>
      <w:lvlText w:val="●"/>
      <w:numFmt w:val="bullet"/>
      <w:pPr>
        <w:pBdr/>
        <w:spacing/>
        <w:ind w:hanging="360" w:left="5040"/>
      </w:pPr>
      <w:rPr>
        <w:rFonts w:ascii="Noto Sans Symbols" w:hAnsi="Noto Sans Symbols" w:eastAsia="Noto Sans Symbols" w:cs="Noto Sans Symbols"/>
      </w:rPr>
      <w:start w:val="1"/>
      <w:suff w:val="tab"/>
    </w:lvl>
    <w:lvl w:ilvl="7">
      <w:isLgl w:val="false"/>
      <w:lvlJc w:val="left"/>
      <w:lvlText w:val="o"/>
      <w:numFmt w:val="bullet"/>
      <w:pPr>
        <w:pBdr/>
        <w:spacing/>
        <w:ind w:hanging="360" w:left="5760"/>
      </w:pPr>
      <w:rPr>
        <w:rFonts w:ascii="Courier New" w:hAnsi="Courier New" w:eastAsia="Courier New" w:cs="Courier New"/>
      </w:rPr>
      <w:start w:val="1"/>
      <w:suff w:val="tab"/>
    </w:lvl>
    <w:lvl w:ilvl="8">
      <w:isLgl w:val="false"/>
      <w:lvlJc w:val="left"/>
      <w:lvlText w:val="▪"/>
      <w:numFmt w:val="bullet"/>
      <w:pPr>
        <w:pBdr/>
        <w:spacing/>
        <w:ind w:hanging="360" w:left="6480"/>
      </w:pPr>
      <w:rPr>
        <w:rFonts w:ascii="Noto Sans Symbols" w:hAnsi="Noto Sans Symbols" w:eastAsia="Noto Sans Symbols" w:cs="Noto Sans Symbols"/>
      </w:rPr>
      <w:start w:val="1"/>
      <w:suff w:val="tab"/>
    </w:lvl>
  </w:abstractNum>
  <w:abstractNum w:abstractNumId="34">
    <w:nsid w:val="65C33317"/>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5">
    <w:nsid w:val="65CB6357"/>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6892659B"/>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7">
    <w:nsid w:val="6E97762E"/>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6ED247EE"/>
    <w:lvl w:ilvl="0">
      <w:isLgl w:val="false"/>
      <w:lvlJc w:val="left"/>
      <w:lvlText w:val="-"/>
      <w:numFmt w:val="bullet"/>
      <w:pPr>
        <w:pBdr/>
        <w:spacing/>
        <w:ind w:hanging="360" w:left="720"/>
      </w:pPr>
      <w:rPr>
        <w:rFonts w:hint="default" w:ascii="Calibri Light" w:hAnsi="Calibri Light" w:eastAsia="Liberation Sans" w:cs="Calibri Light"/>
      </w:rPr>
      <w:start w:val="6"/>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329320D"/>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77611C71"/>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7E1B2C1D"/>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9"/>
  </w:num>
  <w:num w:numId="2">
    <w:abstractNumId w:val="33"/>
  </w:num>
  <w:num w:numId="3">
    <w:abstractNumId w:val="24"/>
  </w:num>
  <w:num w:numId="4">
    <w:abstractNumId w:val="14"/>
  </w:num>
  <w:num w:numId="5">
    <w:abstractNumId w:val="1"/>
  </w:num>
  <w:num w:numId="6">
    <w:abstractNumId w:val="17"/>
  </w:num>
  <w:num w:numId="7">
    <w:abstractNumId w:val="30"/>
  </w:num>
  <w:num w:numId="8">
    <w:abstractNumId w:val="11"/>
  </w:num>
  <w:num w:numId="9">
    <w:abstractNumId w:val="9"/>
  </w:num>
  <w:num w:numId="10">
    <w:abstractNumId w:val="29"/>
  </w:num>
  <w:num w:numId="11">
    <w:abstractNumId w:val="8"/>
  </w:num>
  <w:num w:numId="12">
    <w:abstractNumId w:val="23"/>
  </w:num>
  <w:num w:numId="13">
    <w:abstractNumId w:val="25"/>
  </w:num>
  <w:num w:numId="14">
    <w:abstractNumId w:val="5"/>
  </w:num>
  <w:num w:numId="15">
    <w:abstractNumId w:val="18"/>
  </w:num>
  <w:num w:numId="16">
    <w:abstractNumId w:val="2"/>
  </w:num>
  <w:num w:numId="17">
    <w:abstractNumId w:val="16"/>
  </w:num>
  <w:num w:numId="18">
    <w:abstractNumId w:val="35"/>
  </w:num>
  <w:num w:numId="19">
    <w:abstractNumId w:val="26"/>
  </w:num>
  <w:num w:numId="20">
    <w:abstractNumId w:val="22"/>
  </w:num>
  <w:num w:numId="21">
    <w:abstractNumId w:val="27"/>
  </w:num>
  <w:num w:numId="22">
    <w:abstractNumId w:val="31"/>
  </w:num>
  <w:num w:numId="23">
    <w:abstractNumId w:val="10"/>
  </w:num>
  <w:num w:numId="24">
    <w:abstractNumId w:val="6"/>
  </w:num>
  <w:num w:numId="25">
    <w:abstractNumId w:val="20"/>
  </w:num>
  <w:num w:numId="26">
    <w:abstractNumId w:val="28"/>
  </w:num>
  <w:num w:numId="27">
    <w:abstractNumId w:val="38"/>
  </w:num>
  <w:num w:numId="28">
    <w:abstractNumId w:val="37"/>
  </w:num>
  <w:num w:numId="29">
    <w:abstractNumId w:val="41"/>
  </w:num>
  <w:num w:numId="30">
    <w:abstractNumId w:val="3"/>
  </w:num>
  <w:num w:numId="31">
    <w:abstractNumId w:val="21"/>
  </w:num>
  <w:num w:numId="32">
    <w:abstractNumId w:val="0"/>
  </w:num>
  <w:num w:numId="33">
    <w:abstractNumId w:val="32"/>
  </w:num>
  <w:num w:numId="34">
    <w:abstractNumId w:val="40"/>
  </w:num>
  <w:num w:numId="35">
    <w:abstractNumId w:val="15"/>
  </w:num>
  <w:num w:numId="36">
    <w:abstractNumId w:val="34"/>
  </w:num>
  <w:num w:numId="37">
    <w:abstractNumId w:val="12"/>
  </w:num>
  <w:num w:numId="38">
    <w:abstractNumId w:val="7"/>
  </w:num>
  <w:num w:numId="39">
    <w:abstractNumId w:val="36"/>
  </w:num>
  <w:num w:numId="40">
    <w:abstractNumId w:val="13"/>
  </w:num>
  <w:num w:numId="41">
    <w:abstractNumId w:val="4"/>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Calibri"/>
        <w:sz w:val="22"/>
        <w:szCs w:val="22"/>
        <w:lang w:val="fr-FR" w:eastAsia="fr-FR" w:bidi="ar-SA"/>
      </w:rPr>
    </w:rPrDefault>
    <w:pPrDefault>
      <w:pPr>
        <w:pBdr/>
        <w:spacing/>
        <w:ind w:right="0" w:firstLine="360" w:left="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962">
    <w:name w:val="Intense Emphasis"/>
    <w:basedOn w:val="981"/>
    <w:uiPriority w:val="21"/>
    <w:qFormat/>
    <w:pPr>
      <w:pBdr/>
      <w:spacing/>
      <w:ind/>
    </w:pPr>
    <w:rPr>
      <w:i/>
      <w:iCs/>
      <w:color w:val="0f4761" w:themeColor="accent1" w:themeShade="BF"/>
    </w:rPr>
  </w:style>
  <w:style w:type="character" w:styleId="963">
    <w:name w:val="Intense Reference"/>
    <w:basedOn w:val="981"/>
    <w:uiPriority w:val="32"/>
    <w:qFormat/>
    <w:pPr>
      <w:pBdr/>
      <w:spacing/>
      <w:ind/>
    </w:pPr>
    <w:rPr>
      <w:b/>
      <w:bCs/>
      <w:smallCaps/>
      <w:color w:val="0f4761" w:themeColor="accent1" w:themeShade="BF"/>
      <w:spacing w:val="5"/>
    </w:rPr>
  </w:style>
  <w:style w:type="character" w:styleId="964">
    <w:name w:val="Subtle Emphasis"/>
    <w:basedOn w:val="981"/>
    <w:uiPriority w:val="19"/>
    <w:qFormat/>
    <w:pPr>
      <w:pBdr/>
      <w:spacing/>
      <w:ind/>
    </w:pPr>
    <w:rPr>
      <w:i/>
      <w:iCs/>
      <w:color w:val="404040" w:themeColor="text1" w:themeTint="BF"/>
    </w:rPr>
  </w:style>
  <w:style w:type="character" w:styleId="965">
    <w:name w:val="Emphasis"/>
    <w:basedOn w:val="981"/>
    <w:uiPriority w:val="20"/>
    <w:qFormat/>
    <w:pPr>
      <w:pBdr/>
      <w:spacing/>
      <w:ind/>
    </w:pPr>
    <w:rPr>
      <w:i/>
      <w:iCs/>
    </w:rPr>
  </w:style>
  <w:style w:type="character" w:styleId="966">
    <w:name w:val="Strong"/>
    <w:basedOn w:val="981"/>
    <w:uiPriority w:val="22"/>
    <w:qFormat/>
    <w:pPr>
      <w:pBdr/>
      <w:spacing/>
      <w:ind/>
    </w:pPr>
    <w:rPr>
      <w:b/>
      <w:bCs/>
    </w:rPr>
  </w:style>
  <w:style w:type="character" w:styleId="967">
    <w:name w:val="Subtle Reference"/>
    <w:basedOn w:val="981"/>
    <w:uiPriority w:val="31"/>
    <w:qFormat/>
    <w:pPr>
      <w:pBdr/>
      <w:spacing/>
      <w:ind/>
    </w:pPr>
    <w:rPr>
      <w:smallCaps/>
      <w:color w:val="5a5a5a" w:themeColor="text1" w:themeTint="A5"/>
    </w:rPr>
  </w:style>
  <w:style w:type="character" w:styleId="968">
    <w:name w:val="Book Title"/>
    <w:basedOn w:val="981"/>
    <w:uiPriority w:val="33"/>
    <w:qFormat/>
    <w:pPr>
      <w:pBdr/>
      <w:spacing/>
      <w:ind/>
    </w:pPr>
    <w:rPr>
      <w:b/>
      <w:bCs/>
      <w:i/>
      <w:iCs/>
      <w:spacing w:val="5"/>
    </w:rPr>
  </w:style>
  <w:style w:type="character" w:styleId="969">
    <w:name w:val="FollowedHyperlink"/>
    <w:basedOn w:val="981"/>
    <w:uiPriority w:val="99"/>
    <w:semiHidden/>
    <w:unhideWhenUsed/>
    <w:pPr>
      <w:pBdr/>
      <w:spacing/>
      <w:ind/>
    </w:pPr>
    <w:rPr>
      <w:color w:val="954f72" w:themeColor="followedHyperlink"/>
      <w:u w:val="single"/>
    </w:rPr>
  </w:style>
  <w:style w:type="character" w:styleId="970">
    <w:name w:val="Placeholder Text"/>
    <w:basedOn w:val="981"/>
    <w:uiPriority w:val="99"/>
    <w:semiHidden/>
    <w:pPr>
      <w:pBdr/>
      <w:spacing/>
      <w:ind/>
    </w:pPr>
    <w:rPr>
      <w:color w:val="666666"/>
    </w:rPr>
  </w:style>
  <w:style w:type="paragraph" w:styleId="971" w:default="1">
    <w:name w:val="Normal"/>
    <w:pPr>
      <w:pBdr/>
      <w:spacing/>
      <w:ind/>
    </w:pPr>
  </w:style>
  <w:style w:type="paragraph" w:styleId="972">
    <w:name w:val="Heading 1"/>
    <w:basedOn w:val="971"/>
    <w:next w:val="971"/>
    <w:link w:val="999"/>
    <w:pPr>
      <w:pBdr>
        <w:bottom w:val="single" w:color="366091" w:sz="12" w:space="1"/>
      </w:pBdr>
      <w:spacing w:after="80" w:before="600"/>
      <w:ind w:firstLine="0"/>
      <w:outlineLvl w:val="0"/>
    </w:pPr>
    <w:rPr>
      <w:rFonts w:ascii="Cambria" w:hAnsi="Cambria" w:eastAsia="Cambria" w:cs="Cambria"/>
      <w:b/>
      <w:color w:val="366091"/>
      <w:sz w:val="24"/>
      <w:szCs w:val="24"/>
    </w:rPr>
  </w:style>
  <w:style w:type="paragraph" w:styleId="973">
    <w:name w:val="Heading 2"/>
    <w:basedOn w:val="971"/>
    <w:next w:val="971"/>
    <w:link w:val="1000"/>
    <w:pPr>
      <w:pBdr>
        <w:bottom w:val="single" w:color="4f81bd" w:sz="8" w:space="1"/>
      </w:pBdr>
      <w:spacing w:after="80" w:before="200"/>
      <w:ind w:firstLine="0"/>
      <w:outlineLvl w:val="1"/>
    </w:pPr>
    <w:rPr>
      <w:rFonts w:ascii="Cambria" w:hAnsi="Cambria" w:eastAsia="Cambria" w:cs="Cambria"/>
      <w:color w:val="366091"/>
      <w:sz w:val="24"/>
      <w:szCs w:val="24"/>
    </w:rPr>
  </w:style>
  <w:style w:type="paragraph" w:styleId="974">
    <w:name w:val="Heading 3"/>
    <w:basedOn w:val="971"/>
    <w:next w:val="971"/>
    <w:link w:val="1001"/>
    <w:pPr>
      <w:pBdr>
        <w:bottom w:val="single" w:color="95b3d7" w:sz="4" w:space="1"/>
      </w:pBdr>
      <w:spacing w:after="80" w:before="200"/>
      <w:ind w:firstLine="0"/>
      <w:outlineLvl w:val="2"/>
    </w:pPr>
    <w:rPr>
      <w:rFonts w:ascii="Cambria" w:hAnsi="Cambria" w:eastAsia="Cambria" w:cs="Cambria"/>
      <w:color w:val="4f81bd"/>
      <w:sz w:val="24"/>
      <w:szCs w:val="24"/>
    </w:rPr>
  </w:style>
  <w:style w:type="paragraph" w:styleId="975">
    <w:name w:val="Heading 4"/>
    <w:basedOn w:val="971"/>
    <w:next w:val="971"/>
    <w:link w:val="1002"/>
    <w:pPr>
      <w:pBdr>
        <w:bottom w:val="single" w:color="b8cce4" w:sz="4" w:space="2"/>
      </w:pBdr>
      <w:spacing w:after="80" w:before="200"/>
      <w:ind w:firstLine="0"/>
      <w:outlineLvl w:val="3"/>
    </w:pPr>
    <w:rPr>
      <w:rFonts w:ascii="Cambria" w:hAnsi="Cambria" w:eastAsia="Cambria" w:cs="Cambria"/>
      <w:i/>
      <w:color w:val="4f81bd"/>
      <w:sz w:val="24"/>
      <w:szCs w:val="24"/>
    </w:rPr>
  </w:style>
  <w:style w:type="paragraph" w:styleId="976">
    <w:name w:val="Heading 5"/>
    <w:basedOn w:val="971"/>
    <w:next w:val="971"/>
    <w:link w:val="1003"/>
    <w:pPr>
      <w:pBdr/>
      <w:spacing w:after="80" w:before="200"/>
      <w:ind w:firstLine="0"/>
      <w:outlineLvl w:val="4"/>
    </w:pPr>
    <w:rPr>
      <w:rFonts w:ascii="Cambria" w:hAnsi="Cambria" w:eastAsia="Cambria" w:cs="Cambria"/>
      <w:color w:val="4f81bd"/>
    </w:rPr>
  </w:style>
  <w:style w:type="paragraph" w:styleId="977">
    <w:name w:val="Heading 6"/>
    <w:basedOn w:val="971"/>
    <w:next w:val="971"/>
    <w:link w:val="1004"/>
    <w:pPr>
      <w:pBdr/>
      <w:spacing w:after="100" w:before="280"/>
      <w:ind w:firstLine="0"/>
      <w:outlineLvl w:val="5"/>
    </w:pPr>
    <w:rPr>
      <w:rFonts w:ascii="Cambria" w:hAnsi="Cambria" w:eastAsia="Cambria" w:cs="Cambria"/>
      <w:i/>
      <w:color w:val="4f81bd"/>
    </w:rPr>
  </w:style>
  <w:style w:type="paragraph" w:styleId="978">
    <w:name w:val="Heading 7"/>
    <w:basedOn w:val="971"/>
    <w:next w:val="971"/>
    <w:link w:val="1005"/>
    <w:uiPriority w:val="9"/>
    <w:unhideWhenUsed/>
    <w:qFormat/>
    <w:pPr>
      <w:keepNext w:val="true"/>
      <w:keepLines w:val="true"/>
      <w:pBdr/>
      <w:spacing w:after="200" w:before="320"/>
      <w:ind/>
      <w:outlineLvl w:val="6"/>
    </w:pPr>
    <w:rPr>
      <w:rFonts w:ascii="Arial" w:hAnsi="Arial" w:eastAsia="Arial" w:cs="Arial"/>
      <w:b/>
      <w:bCs/>
      <w:i/>
      <w:iCs/>
    </w:rPr>
  </w:style>
  <w:style w:type="paragraph" w:styleId="979">
    <w:name w:val="Heading 8"/>
    <w:basedOn w:val="971"/>
    <w:next w:val="971"/>
    <w:link w:val="1006"/>
    <w:uiPriority w:val="9"/>
    <w:unhideWhenUsed/>
    <w:qFormat/>
    <w:pPr>
      <w:keepNext w:val="true"/>
      <w:keepLines w:val="true"/>
      <w:pBdr/>
      <w:spacing w:after="200" w:before="320"/>
      <w:ind/>
      <w:outlineLvl w:val="7"/>
    </w:pPr>
    <w:rPr>
      <w:rFonts w:ascii="Arial" w:hAnsi="Arial" w:eastAsia="Arial" w:cs="Arial"/>
      <w:i/>
      <w:iCs/>
    </w:rPr>
  </w:style>
  <w:style w:type="paragraph" w:styleId="980">
    <w:name w:val="Heading 9"/>
    <w:basedOn w:val="971"/>
    <w:next w:val="971"/>
    <w:link w:val="1007"/>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981" w:default="1">
    <w:name w:val="Default Paragraph Font"/>
    <w:uiPriority w:val="1"/>
    <w:semiHidden/>
    <w:unhideWhenUsed/>
    <w:pPr>
      <w:pBdr/>
      <w:spacing/>
      <w:ind/>
    </w:pPr>
  </w:style>
  <w:style w:type="table" w:styleId="98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83" w:default="1">
    <w:name w:val="No List"/>
    <w:uiPriority w:val="99"/>
    <w:semiHidden/>
    <w:unhideWhenUsed/>
    <w:pPr>
      <w:pBdr/>
      <w:spacing/>
      <w:ind/>
    </w:pPr>
  </w:style>
  <w:style w:type="character" w:styleId="984" w:customStyle="1">
    <w:name w:val="Heading 1 Char"/>
    <w:basedOn w:val="981"/>
    <w:uiPriority w:val="9"/>
    <w:pPr>
      <w:pBdr/>
      <w:spacing/>
      <w:ind/>
    </w:pPr>
    <w:rPr>
      <w:rFonts w:ascii="Arial" w:hAnsi="Arial" w:eastAsia="Arial" w:cs="Arial"/>
      <w:sz w:val="40"/>
      <w:szCs w:val="40"/>
    </w:rPr>
  </w:style>
  <w:style w:type="character" w:styleId="985" w:customStyle="1">
    <w:name w:val="Heading 2 Char"/>
    <w:basedOn w:val="981"/>
    <w:uiPriority w:val="9"/>
    <w:pPr>
      <w:pBdr/>
      <w:spacing/>
      <w:ind/>
    </w:pPr>
    <w:rPr>
      <w:rFonts w:ascii="Arial" w:hAnsi="Arial" w:eastAsia="Arial" w:cs="Arial"/>
      <w:sz w:val="34"/>
    </w:rPr>
  </w:style>
  <w:style w:type="character" w:styleId="986" w:customStyle="1">
    <w:name w:val="Heading 3 Char"/>
    <w:basedOn w:val="981"/>
    <w:uiPriority w:val="9"/>
    <w:pPr>
      <w:pBdr/>
      <w:spacing/>
      <w:ind/>
    </w:pPr>
    <w:rPr>
      <w:rFonts w:ascii="Arial" w:hAnsi="Arial" w:eastAsia="Arial" w:cs="Arial"/>
      <w:sz w:val="30"/>
      <w:szCs w:val="30"/>
    </w:rPr>
  </w:style>
  <w:style w:type="character" w:styleId="987" w:customStyle="1">
    <w:name w:val="Heading 4 Char"/>
    <w:basedOn w:val="981"/>
    <w:uiPriority w:val="9"/>
    <w:pPr>
      <w:pBdr/>
      <w:spacing/>
      <w:ind/>
    </w:pPr>
    <w:rPr>
      <w:rFonts w:ascii="Arial" w:hAnsi="Arial" w:eastAsia="Arial" w:cs="Arial"/>
      <w:b/>
      <w:bCs/>
      <w:sz w:val="26"/>
      <w:szCs w:val="26"/>
    </w:rPr>
  </w:style>
  <w:style w:type="character" w:styleId="988" w:customStyle="1">
    <w:name w:val="Heading 5 Char"/>
    <w:basedOn w:val="981"/>
    <w:uiPriority w:val="9"/>
    <w:pPr>
      <w:pBdr/>
      <w:spacing/>
      <w:ind/>
    </w:pPr>
    <w:rPr>
      <w:rFonts w:ascii="Arial" w:hAnsi="Arial" w:eastAsia="Arial" w:cs="Arial"/>
      <w:b/>
      <w:bCs/>
      <w:sz w:val="24"/>
      <w:szCs w:val="24"/>
    </w:rPr>
  </w:style>
  <w:style w:type="character" w:styleId="989" w:customStyle="1">
    <w:name w:val="Heading 6 Char"/>
    <w:basedOn w:val="981"/>
    <w:uiPriority w:val="9"/>
    <w:pPr>
      <w:pBdr/>
      <w:spacing/>
      <w:ind/>
    </w:pPr>
    <w:rPr>
      <w:rFonts w:ascii="Arial" w:hAnsi="Arial" w:eastAsia="Arial" w:cs="Arial"/>
      <w:b/>
      <w:bCs/>
      <w:sz w:val="22"/>
      <w:szCs w:val="22"/>
    </w:rPr>
  </w:style>
  <w:style w:type="character" w:styleId="990" w:customStyle="1">
    <w:name w:val="Heading 7 Char"/>
    <w:basedOn w:val="981"/>
    <w:uiPriority w:val="9"/>
    <w:pPr>
      <w:pBdr/>
      <w:spacing/>
      <w:ind/>
    </w:pPr>
    <w:rPr>
      <w:rFonts w:ascii="Arial" w:hAnsi="Arial" w:eastAsia="Arial" w:cs="Arial"/>
      <w:b/>
      <w:bCs/>
      <w:i/>
      <w:iCs/>
      <w:sz w:val="22"/>
      <w:szCs w:val="22"/>
    </w:rPr>
  </w:style>
  <w:style w:type="character" w:styleId="991" w:customStyle="1">
    <w:name w:val="Heading 8 Char"/>
    <w:basedOn w:val="981"/>
    <w:uiPriority w:val="9"/>
    <w:pPr>
      <w:pBdr/>
      <w:spacing/>
      <w:ind/>
    </w:pPr>
    <w:rPr>
      <w:rFonts w:ascii="Arial" w:hAnsi="Arial" w:eastAsia="Arial" w:cs="Arial"/>
      <w:i/>
      <w:iCs/>
      <w:sz w:val="22"/>
      <w:szCs w:val="22"/>
    </w:rPr>
  </w:style>
  <w:style w:type="character" w:styleId="992" w:customStyle="1">
    <w:name w:val="Heading 9 Char"/>
    <w:basedOn w:val="981"/>
    <w:uiPriority w:val="9"/>
    <w:pPr>
      <w:pBdr/>
      <w:spacing/>
      <w:ind/>
    </w:pPr>
    <w:rPr>
      <w:rFonts w:ascii="Arial" w:hAnsi="Arial" w:eastAsia="Arial" w:cs="Arial"/>
      <w:i/>
      <w:iCs/>
      <w:sz w:val="21"/>
      <w:szCs w:val="21"/>
    </w:rPr>
  </w:style>
  <w:style w:type="character" w:styleId="993" w:customStyle="1">
    <w:name w:val="Title Char"/>
    <w:basedOn w:val="981"/>
    <w:uiPriority w:val="10"/>
    <w:pPr>
      <w:pBdr/>
      <w:spacing/>
      <w:ind/>
    </w:pPr>
    <w:rPr>
      <w:sz w:val="48"/>
      <w:szCs w:val="48"/>
    </w:rPr>
  </w:style>
  <w:style w:type="character" w:styleId="994" w:customStyle="1">
    <w:name w:val="Subtitle Char"/>
    <w:basedOn w:val="981"/>
    <w:uiPriority w:val="11"/>
    <w:pPr>
      <w:pBdr/>
      <w:spacing/>
      <w:ind/>
    </w:pPr>
    <w:rPr>
      <w:sz w:val="24"/>
      <w:szCs w:val="24"/>
    </w:rPr>
  </w:style>
  <w:style w:type="character" w:styleId="995" w:customStyle="1">
    <w:name w:val="Quote Char"/>
    <w:uiPriority w:val="29"/>
    <w:pPr>
      <w:pBdr/>
      <w:spacing/>
      <w:ind/>
    </w:pPr>
    <w:rPr>
      <w:i/>
    </w:rPr>
  </w:style>
  <w:style w:type="character" w:styleId="996" w:customStyle="1">
    <w:name w:val="Intense Quote Char"/>
    <w:uiPriority w:val="30"/>
    <w:pPr>
      <w:pBdr/>
      <w:spacing/>
      <w:ind/>
    </w:pPr>
    <w:rPr>
      <w:i/>
    </w:rPr>
  </w:style>
  <w:style w:type="character" w:styleId="997" w:customStyle="1">
    <w:name w:val="Footnote Text Char"/>
    <w:uiPriority w:val="99"/>
    <w:pPr>
      <w:pBdr/>
      <w:spacing/>
      <w:ind/>
    </w:pPr>
    <w:rPr>
      <w:sz w:val="18"/>
    </w:rPr>
  </w:style>
  <w:style w:type="character" w:styleId="998" w:customStyle="1">
    <w:name w:val="Endnote Text Char"/>
    <w:uiPriority w:val="99"/>
    <w:pPr>
      <w:pBdr/>
      <w:spacing/>
      <w:ind/>
    </w:pPr>
    <w:rPr>
      <w:sz w:val="20"/>
    </w:rPr>
  </w:style>
  <w:style w:type="character" w:styleId="999" w:customStyle="1">
    <w:name w:val="Titre 1 Car"/>
    <w:basedOn w:val="981"/>
    <w:link w:val="972"/>
    <w:pPr>
      <w:pBdr/>
      <w:spacing/>
      <w:ind/>
    </w:pPr>
    <w:rPr>
      <w:rFonts w:ascii="Arial" w:hAnsi="Arial" w:eastAsia="Arial" w:cs="Arial"/>
      <w:sz w:val="40"/>
      <w:szCs w:val="40"/>
    </w:rPr>
  </w:style>
  <w:style w:type="character" w:styleId="1000" w:customStyle="1">
    <w:name w:val="Titre 2 Car"/>
    <w:basedOn w:val="981"/>
    <w:link w:val="973"/>
    <w:uiPriority w:val="9"/>
    <w:pPr>
      <w:pBdr/>
      <w:spacing/>
      <w:ind/>
    </w:pPr>
    <w:rPr>
      <w:rFonts w:ascii="Arial" w:hAnsi="Arial" w:eastAsia="Arial" w:cs="Arial"/>
      <w:sz w:val="34"/>
    </w:rPr>
  </w:style>
  <w:style w:type="character" w:styleId="1001" w:customStyle="1">
    <w:name w:val="Titre 3 Car"/>
    <w:basedOn w:val="981"/>
    <w:link w:val="974"/>
    <w:uiPriority w:val="9"/>
    <w:pPr>
      <w:pBdr/>
      <w:spacing/>
      <w:ind/>
    </w:pPr>
    <w:rPr>
      <w:rFonts w:ascii="Arial" w:hAnsi="Arial" w:eastAsia="Arial" w:cs="Arial"/>
      <w:sz w:val="30"/>
      <w:szCs w:val="30"/>
    </w:rPr>
  </w:style>
  <w:style w:type="character" w:styleId="1002" w:customStyle="1">
    <w:name w:val="Titre 4 Car"/>
    <w:basedOn w:val="981"/>
    <w:link w:val="975"/>
    <w:uiPriority w:val="9"/>
    <w:pPr>
      <w:pBdr/>
      <w:spacing/>
      <w:ind/>
    </w:pPr>
    <w:rPr>
      <w:rFonts w:ascii="Arial" w:hAnsi="Arial" w:eastAsia="Arial" w:cs="Arial"/>
      <w:b/>
      <w:bCs/>
      <w:sz w:val="26"/>
      <w:szCs w:val="26"/>
    </w:rPr>
  </w:style>
  <w:style w:type="character" w:styleId="1003" w:customStyle="1">
    <w:name w:val="Titre 5 Car"/>
    <w:basedOn w:val="981"/>
    <w:link w:val="976"/>
    <w:uiPriority w:val="9"/>
    <w:pPr>
      <w:pBdr/>
      <w:spacing/>
      <w:ind/>
    </w:pPr>
    <w:rPr>
      <w:rFonts w:ascii="Arial" w:hAnsi="Arial" w:eastAsia="Arial" w:cs="Arial"/>
      <w:b/>
      <w:bCs/>
      <w:sz w:val="24"/>
      <w:szCs w:val="24"/>
    </w:rPr>
  </w:style>
  <w:style w:type="character" w:styleId="1004" w:customStyle="1">
    <w:name w:val="Titre 6 Car"/>
    <w:basedOn w:val="981"/>
    <w:link w:val="977"/>
    <w:uiPriority w:val="9"/>
    <w:pPr>
      <w:pBdr/>
      <w:spacing/>
      <w:ind/>
    </w:pPr>
    <w:rPr>
      <w:rFonts w:ascii="Arial" w:hAnsi="Arial" w:eastAsia="Arial" w:cs="Arial"/>
      <w:b/>
      <w:bCs/>
      <w:sz w:val="22"/>
      <w:szCs w:val="22"/>
    </w:rPr>
  </w:style>
  <w:style w:type="character" w:styleId="1005" w:customStyle="1">
    <w:name w:val="Titre 7 Car"/>
    <w:basedOn w:val="981"/>
    <w:link w:val="978"/>
    <w:uiPriority w:val="9"/>
    <w:pPr>
      <w:pBdr/>
      <w:spacing/>
      <w:ind/>
    </w:pPr>
    <w:rPr>
      <w:rFonts w:ascii="Arial" w:hAnsi="Arial" w:eastAsia="Arial" w:cs="Arial"/>
      <w:b/>
      <w:bCs/>
      <w:i/>
      <w:iCs/>
      <w:sz w:val="22"/>
      <w:szCs w:val="22"/>
    </w:rPr>
  </w:style>
  <w:style w:type="character" w:styleId="1006" w:customStyle="1">
    <w:name w:val="Titre 8 Car"/>
    <w:basedOn w:val="981"/>
    <w:link w:val="979"/>
    <w:uiPriority w:val="9"/>
    <w:pPr>
      <w:pBdr/>
      <w:spacing/>
      <w:ind/>
    </w:pPr>
    <w:rPr>
      <w:rFonts w:ascii="Arial" w:hAnsi="Arial" w:eastAsia="Arial" w:cs="Arial"/>
      <w:i/>
      <w:iCs/>
      <w:sz w:val="22"/>
      <w:szCs w:val="22"/>
    </w:rPr>
  </w:style>
  <w:style w:type="character" w:styleId="1007" w:customStyle="1">
    <w:name w:val="Titre 9 Car"/>
    <w:basedOn w:val="981"/>
    <w:link w:val="980"/>
    <w:uiPriority w:val="9"/>
    <w:pPr>
      <w:pBdr/>
      <w:spacing/>
      <w:ind/>
    </w:pPr>
    <w:rPr>
      <w:rFonts w:ascii="Arial" w:hAnsi="Arial" w:eastAsia="Arial" w:cs="Arial"/>
      <w:i/>
      <w:iCs/>
      <w:sz w:val="21"/>
      <w:szCs w:val="21"/>
    </w:rPr>
  </w:style>
  <w:style w:type="paragraph" w:styleId="1008">
    <w:name w:val="No Spacing"/>
    <w:uiPriority w:val="1"/>
    <w:qFormat/>
    <w:pPr>
      <w:pBdr/>
      <w:spacing/>
      <w:ind/>
    </w:pPr>
  </w:style>
  <w:style w:type="character" w:styleId="1009" w:customStyle="1">
    <w:name w:val="Titre Car"/>
    <w:basedOn w:val="981"/>
    <w:link w:val="1163"/>
    <w:uiPriority w:val="10"/>
    <w:pPr>
      <w:pBdr/>
      <w:spacing/>
      <w:ind/>
    </w:pPr>
    <w:rPr>
      <w:sz w:val="48"/>
      <w:szCs w:val="48"/>
    </w:rPr>
  </w:style>
  <w:style w:type="character" w:styleId="1010" w:customStyle="1">
    <w:name w:val="Sous-titre Car"/>
    <w:basedOn w:val="981"/>
    <w:link w:val="1164"/>
    <w:uiPriority w:val="11"/>
    <w:pPr>
      <w:pBdr/>
      <w:spacing/>
      <w:ind/>
    </w:pPr>
    <w:rPr>
      <w:sz w:val="24"/>
      <w:szCs w:val="24"/>
    </w:rPr>
  </w:style>
  <w:style w:type="paragraph" w:styleId="1011">
    <w:name w:val="Quote"/>
    <w:basedOn w:val="971"/>
    <w:next w:val="971"/>
    <w:link w:val="1012"/>
    <w:uiPriority w:val="29"/>
    <w:qFormat/>
    <w:pPr>
      <w:pBdr/>
      <w:spacing/>
      <w:ind w:right="720" w:left="720"/>
    </w:pPr>
    <w:rPr>
      <w:i/>
    </w:rPr>
  </w:style>
  <w:style w:type="character" w:styleId="1012" w:customStyle="1">
    <w:name w:val="Citation Car"/>
    <w:link w:val="1011"/>
    <w:uiPriority w:val="29"/>
    <w:pPr>
      <w:pBdr/>
      <w:spacing/>
      <w:ind/>
    </w:pPr>
    <w:rPr>
      <w:i/>
    </w:rPr>
  </w:style>
  <w:style w:type="paragraph" w:styleId="1013">
    <w:name w:val="Intense Quote"/>
    <w:basedOn w:val="971"/>
    <w:next w:val="971"/>
    <w:link w:val="1014"/>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character" w:styleId="1014" w:customStyle="1">
    <w:name w:val="Citation intense Car"/>
    <w:link w:val="1013"/>
    <w:uiPriority w:val="30"/>
    <w:pPr>
      <w:pBdr/>
      <w:spacing/>
      <w:ind/>
    </w:pPr>
    <w:rPr>
      <w:i/>
    </w:rPr>
  </w:style>
  <w:style w:type="character" w:styleId="1015" w:customStyle="1">
    <w:name w:val="Header Char"/>
    <w:basedOn w:val="981"/>
    <w:uiPriority w:val="99"/>
    <w:pPr>
      <w:pBdr/>
      <w:spacing/>
      <w:ind/>
    </w:pPr>
  </w:style>
  <w:style w:type="character" w:styleId="1016" w:customStyle="1">
    <w:name w:val="Footer Char"/>
    <w:basedOn w:val="981"/>
    <w:uiPriority w:val="99"/>
    <w:pPr>
      <w:pBdr/>
      <w:spacing/>
      <w:ind/>
    </w:pPr>
  </w:style>
  <w:style w:type="paragraph" w:styleId="1017">
    <w:name w:val="Caption"/>
    <w:basedOn w:val="971"/>
    <w:next w:val="971"/>
    <w:uiPriority w:val="35"/>
    <w:semiHidden/>
    <w:unhideWhenUsed/>
    <w:qFormat/>
    <w:pPr>
      <w:pBdr/>
      <w:spacing w:line="276" w:lineRule="auto"/>
      <w:ind/>
    </w:pPr>
    <w:rPr>
      <w:b/>
      <w:bCs/>
      <w:color w:val="4f81bd" w:themeColor="accent1"/>
      <w:sz w:val="18"/>
      <w:szCs w:val="18"/>
    </w:rPr>
  </w:style>
  <w:style w:type="character" w:styleId="1018" w:customStyle="1">
    <w:name w:val="Caption Char"/>
    <w:uiPriority w:val="99"/>
    <w:pPr>
      <w:pBdr/>
      <w:spacing/>
      <w:ind/>
    </w:pPr>
  </w:style>
  <w:style w:type="table" w:styleId="1019">
    <w:name w:val="Table Grid"/>
    <w:basedOn w:val="982"/>
    <w:uiPriority w:val="5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0" w:customStyle="1">
    <w:name w:val="Table Grid Light"/>
    <w:basedOn w:val="982"/>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1">
    <w:name w:val="Plain Table 1"/>
    <w:basedOn w:val="982"/>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2">
    <w:name w:val="Plain Table 2"/>
    <w:basedOn w:val="982"/>
    <w:uiPriority w:val="59"/>
    <w:pPr>
      <w:pBdr/>
      <w:spacing/>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3">
    <w:name w:val="Plain Table 3"/>
    <w:basedOn w:val="982"/>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4">
    <w:name w:val="Plain Table 4"/>
    <w:basedOn w:val="982"/>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5">
    <w:name w:val="Plain Table 5"/>
    <w:basedOn w:val="982"/>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6">
    <w:name w:val="Grid Table 1 Light"/>
    <w:basedOn w:val="982"/>
    <w:uiPriority w:val="99"/>
    <w:pPr>
      <w:pBdr/>
      <w:spacing/>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7" w:customStyle="1">
    <w:name w:val="Grid Table 1 Light - Accent 1"/>
    <w:basedOn w:val="982"/>
    <w:uiPriority w:val="99"/>
    <w:pPr>
      <w:pBdr/>
      <w:spacing/>
      <w:ind/>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7b4d8"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8" w:customStyle="1">
    <w:name w:val="Grid Table 1 Light - Accent 2"/>
    <w:basedOn w:val="982"/>
    <w:uiPriority w:val="99"/>
    <w:pPr>
      <w:pBdr/>
      <w:spacing/>
      <w:ind/>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da989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9" w:customStyle="1">
    <w:name w:val="Grid Table 1 Light - Accent 3"/>
    <w:basedOn w:val="982"/>
    <w:uiPriority w:val="99"/>
    <w:pPr>
      <w:pBdr/>
      <w:spacing/>
      <w:ind/>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4d79d"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0" w:customStyle="1">
    <w:name w:val="Grid Table 1 Light - Accent 4"/>
    <w:basedOn w:val="982"/>
    <w:uiPriority w:val="99"/>
    <w:pPr>
      <w:pBdr/>
      <w:spacing/>
      <w:ind/>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b4a4c8"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1" w:customStyle="1">
    <w:name w:val="Grid Table 1 Light - Accent 5"/>
    <w:basedOn w:val="982"/>
    <w:uiPriority w:val="99"/>
    <w:pPr>
      <w:pBdr/>
      <w:spacing/>
      <w:ind/>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5cedd"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2" w:customStyle="1">
    <w:name w:val="Grid Table 1 Light - Accent 6"/>
    <w:basedOn w:val="982"/>
    <w:uiPriority w:val="99"/>
    <w:pPr>
      <w:pBdr/>
      <w:spacing/>
      <w:ind/>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ac192"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3">
    <w:name w:val="Grid Table 2"/>
    <w:basedOn w:val="982"/>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4" w:customStyle="1">
    <w:name w:val="Grid Table 2 - Accent 1"/>
    <w:basedOn w:val="982"/>
    <w:uiPriority w:val="99"/>
    <w:pPr>
      <w:pBdr/>
      <w:spacing/>
      <w:ind/>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5" w:customStyle="1">
    <w:name w:val="Grid Table 2 - Accent 2"/>
    <w:basedOn w:val="982"/>
    <w:uiPriority w:val="99"/>
    <w:pPr>
      <w:pBdr/>
      <w:spacing/>
      <w:ind/>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6" w:customStyle="1">
    <w:name w:val="Grid Table 2 - Accent 3"/>
    <w:basedOn w:val="982"/>
    <w:uiPriority w:val="99"/>
    <w:pPr>
      <w:pBdr/>
      <w:spacing/>
      <w:ind/>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1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7" w:customStyle="1">
    <w:name w:val="Grid Table 2 - Accent 4"/>
    <w:basedOn w:val="982"/>
    <w:uiPriority w:val="99"/>
    <w:pPr>
      <w:pBdr/>
      <w:spacing/>
      <w:ind/>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8" w:customStyle="1">
    <w:name w:val="Grid Table 2 - Accent 5"/>
    <w:basedOn w:val="982"/>
    <w:uiPriority w:val="99"/>
    <w:pPr>
      <w:pBdr/>
      <w:spacing/>
      <w:ind/>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9" w:customStyle="1">
    <w:name w:val="Grid Table 2 - Accent 6"/>
    <w:basedOn w:val="982"/>
    <w:uiPriority w:val="99"/>
    <w:pPr>
      <w:pBdr/>
      <w:spacing/>
      <w:ind/>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0">
    <w:name w:val="Grid Table 3"/>
    <w:basedOn w:val="982"/>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1" w:customStyle="1">
    <w:name w:val="Grid Table 3 - Accent 1"/>
    <w:basedOn w:val="982"/>
    <w:uiPriority w:val="99"/>
    <w:pPr>
      <w:pBdr/>
      <w:spacing/>
      <w:ind/>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2" w:customStyle="1">
    <w:name w:val="Grid Table 3 - Accent 2"/>
    <w:basedOn w:val="982"/>
    <w:uiPriority w:val="99"/>
    <w:pPr>
      <w:pBdr/>
      <w:spacing/>
      <w:ind/>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3" w:customStyle="1">
    <w:name w:val="Grid Table 3 - Accent 3"/>
    <w:basedOn w:val="982"/>
    <w:uiPriority w:val="99"/>
    <w:pPr>
      <w:pBdr/>
      <w:spacing/>
      <w:ind/>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1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4" w:customStyle="1">
    <w:name w:val="Grid Table 3 - Accent 4"/>
    <w:basedOn w:val="982"/>
    <w:uiPriority w:val="99"/>
    <w:pPr>
      <w:pBdr/>
      <w:spacing/>
      <w:ind/>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5" w:customStyle="1">
    <w:name w:val="Grid Table 3 - Accent 5"/>
    <w:basedOn w:val="982"/>
    <w:uiPriority w:val="99"/>
    <w:pPr>
      <w:pBdr/>
      <w:spacing/>
      <w:ind/>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6" w:customStyle="1">
    <w:name w:val="Grid Table 3 - Accent 6"/>
    <w:basedOn w:val="982"/>
    <w:uiPriority w:val="99"/>
    <w:pPr>
      <w:pBdr/>
      <w:spacing/>
      <w:ind/>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7">
    <w:name w:val="Grid Table 4"/>
    <w:basedOn w:val="982"/>
    <w:uiPriority w:val="59"/>
    <w:pPr>
      <w:pBdr/>
      <w:spacing/>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8" w:customStyle="1">
    <w:name w:val="Grid Table 4 - Accent 1"/>
    <w:basedOn w:val="982"/>
    <w:uiPriority w:val="59"/>
    <w:pPr>
      <w:pBdr/>
      <w:spacing/>
      <w:ind/>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ce6f2"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dce6f2"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d8ac2"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9" w:customStyle="1">
    <w:name w:val="Grid Table 4 - Accent 2"/>
    <w:basedOn w:val="982"/>
    <w:uiPriority w:val="59"/>
    <w:pPr>
      <w:pBdr/>
      <w:spacing/>
      <w:ind/>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0" w:customStyle="1">
    <w:name w:val="Grid Table 4 - Accent 3"/>
    <w:basedOn w:val="982"/>
    <w:uiPriority w:val="59"/>
    <w:pPr>
      <w:pBdr/>
      <w:spacing/>
      <w:ind/>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1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abb59"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1" w:customStyle="1">
    <w:name w:val="Grid Table 4 - Accent 4"/>
    <w:basedOn w:val="982"/>
    <w:uiPriority w:val="59"/>
    <w:pPr>
      <w:pBdr/>
      <w:spacing/>
      <w:ind/>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2" w:customStyle="1">
    <w:name w:val="Grid Table 4 - Accent 5"/>
    <w:basedOn w:val="982"/>
    <w:uiPriority w:val="59"/>
    <w:pPr>
      <w:pBdr/>
      <w:spacing/>
      <w:ind/>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3" w:customStyle="1">
    <w:name w:val="Grid Table 4 - Accent 6"/>
    <w:basedOn w:val="982"/>
    <w:uiPriority w:val="59"/>
    <w:pPr>
      <w:pBdr/>
      <w:spacing/>
      <w:ind/>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4">
    <w:name w:val="Grid Table 5 Dark"/>
    <w:basedOn w:val="982"/>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5" w:customStyle="1">
    <w:name w:val="Grid Table 5 Dark- Accent 1"/>
    <w:basedOn w:val="982"/>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Pr>
    <w:tcPr>
      <w:tcBorders/>
    </w:tcPr>
    <w:tblStylePr w:type="band1Horz">
      <w:pPr>
        <w:pBdr/>
        <w:spacing/>
        <w:ind/>
      </w:pPr>
      <w:tblPr>
        <w:tblBorders/>
      </w:tblPr>
      <w:tcPr>
        <w:shd w:val="clear" w:color="aec4e0" w:themeColor="accent1" w:themeTint="75" w:fill="aec4e0" w:themeFill="accent1" w:themeFillTint="75"/>
        <w:tcBorders/>
      </w:tcPr>
    </w:tblStylePr>
    <w:tblStylePr w:type="band1Vert">
      <w:pPr>
        <w:pBdr/>
        <w:spacing/>
        <w:ind/>
      </w:pPr>
      <w:tblPr>
        <w:tblBorders/>
      </w:tblPr>
      <w:tcPr>
        <w:shd w:val="clear" w:color="aec4e0" w:themeColor="accent1" w:themeTint="75" w:fill="aec4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f81bd" w:themeColor="accent1" w:fill="4f81bd" w:themeFill="accent1"/>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rFonts w:ascii="Arial" w:hAnsi="Arial"/>
        <w:b/>
        <w:color w:val="ffffff"/>
        <w:sz w:val="22"/>
      </w:rPr>
      <w:pPr>
        <w:pBdr/>
        <w:spacing/>
        <w:ind/>
      </w:pPr>
      <w:tblPr>
        <w:tblBorders/>
      </w:tblPr>
      <w:tcPr>
        <w:shd w:val="clear" w:color="4f81bd" w:themeColor="accent1" w:fill="4f81bd" w:themeFill="accent1"/>
        <w:tcBorders/>
      </w:tcPr>
    </w:tblStylePr>
    <w:tblStylePr w:type="lastRow">
      <w:rPr>
        <w:rFonts w:ascii="Arial" w:hAnsi="Arial"/>
        <w:b/>
        <w:color w:val="ffffff"/>
        <w:sz w:val="22"/>
      </w:rPr>
      <w:pPr>
        <w:pBdr/>
        <w:spacing/>
        <w:ind/>
      </w:pPr>
      <w:tblPr>
        <w:tblBorders/>
      </w:tblPr>
      <w:tcPr>
        <w:shd w:val="clear" w:color="4f81bd" w:themeColor="accent1" w:fill="4f81bd"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6" w:customStyle="1">
    <w:name w:val="Grid Table 5 Dark - Accent 2"/>
    <w:basedOn w:val="982"/>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Pr>
    <w:tcPr>
      <w:tcBorders/>
    </w:tcPr>
    <w:tblStylePr w:type="band1Horz">
      <w:pPr>
        <w:pBdr/>
        <w:spacing/>
        <w:ind/>
      </w:pPr>
      <w:tblPr>
        <w:tblBorders/>
      </w:tblPr>
      <w:tcPr>
        <w:shd w:val="clear" w:color="e2aead" w:themeColor="accent2" w:themeTint="75" w:fill="e2aead" w:themeFill="accent2" w:themeFillTint="75"/>
        <w:tcBorders/>
      </w:tcPr>
    </w:tblStylePr>
    <w:tblStylePr w:type="band1Vert">
      <w:pPr>
        <w:pBdr/>
        <w:spacing/>
        <w:ind/>
      </w:pPr>
      <w:tblPr>
        <w:tblBorders/>
      </w:tblPr>
      <w:tcPr>
        <w:shd w:val="clear" w:color="e2aead" w:themeColor="accent2" w:themeTint="75" w:fill="e2ae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c0504d" w:themeColor="accent2" w:fill="c0504d" w:themeFill="accent2"/>
        <w:tcBorders/>
      </w:tcPr>
    </w:tblStylePr>
    <w:tblStylePr w:type="firstRow">
      <w:rPr>
        <w:rFonts w:ascii="Arial" w:hAnsi="Arial"/>
        <w:b/>
        <w:color w:val="ffffff"/>
        <w:sz w:val="22"/>
      </w:rPr>
      <w:pPr>
        <w:pBdr/>
        <w:spacing/>
        <w:ind/>
      </w:pPr>
      <w:tblPr>
        <w:tblBorders/>
      </w:tblPr>
      <w:tcPr>
        <w:shd w:val="clear" w:color="c0504d" w:themeColor="accent2" w:fill="c0504d" w:themeFill="accent2"/>
        <w:tcBorders/>
      </w:tcPr>
    </w:tblStylePr>
    <w:tblStylePr w:type="lastCol">
      <w:rPr>
        <w:rFonts w:ascii="Arial" w:hAnsi="Arial"/>
        <w:b/>
        <w:color w:val="ffffff"/>
        <w:sz w:val="22"/>
      </w:rPr>
      <w:pPr>
        <w:pBdr/>
        <w:spacing/>
        <w:ind/>
      </w:pPr>
      <w:tblPr>
        <w:tblBorders/>
      </w:tblPr>
      <w:tcPr>
        <w:shd w:val="clear" w:color="c0504d" w:themeColor="accent2" w:fill="c0504d" w:themeFill="accent2"/>
        <w:tcBorders/>
      </w:tcPr>
    </w:tblStylePr>
    <w:tblStylePr w:type="lastRow">
      <w:rPr>
        <w:rFonts w:ascii="Arial" w:hAnsi="Arial"/>
        <w:b/>
        <w:color w:val="ffffff"/>
        <w:sz w:val="22"/>
      </w:rPr>
      <w:pPr>
        <w:pBdr/>
        <w:spacing/>
        <w:ind/>
      </w:pPr>
      <w:tblPr>
        <w:tblBorders/>
      </w:tblPr>
      <w:tcPr>
        <w:shd w:val="clear" w:color="c0504d" w:themeColor="accent2" w:fill="c0504d"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7" w:customStyle="1">
    <w:name w:val="Grid Table 5 Dark - Accent 3"/>
    <w:basedOn w:val="982"/>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Pr>
    <w:tcPr>
      <w:tcBorders/>
    </w:tcPr>
    <w:tblStylePr w:type="band1Horz">
      <w:pPr>
        <w:pBdr/>
        <w:spacing/>
        <w:ind/>
      </w:pPr>
      <w:tblPr>
        <w:tblBorders/>
      </w:tblPr>
      <w:tcPr>
        <w:shd w:val="clear" w:color="d0dfb2" w:themeColor="accent3" w:themeTint="75" w:fill="d0dfb2" w:themeFill="accent3" w:themeFillTint="75"/>
        <w:tcBorders/>
      </w:tcPr>
    </w:tblStylePr>
    <w:tblStylePr w:type="band1Vert">
      <w:pPr>
        <w:pBdr/>
        <w:spacing/>
        <w:ind/>
      </w:pPr>
      <w:tblPr>
        <w:tblBorders/>
      </w:tblPr>
      <w:tcPr>
        <w:shd w:val="clear" w:color="d0dfb2" w:themeColor="accent3" w:themeTint="75" w:fill="d0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9bbb59" w:themeColor="accent3" w:fill="9bbb59" w:themeFill="accent3"/>
        <w:tcBorders/>
      </w:tcPr>
    </w:tblStylePr>
    <w:tblStylePr w:type="firstRow">
      <w:rPr>
        <w:rFonts w:ascii="Arial" w:hAnsi="Arial"/>
        <w:b/>
        <w:color w:val="ffffff"/>
        <w:sz w:val="22"/>
      </w:rPr>
      <w:pPr>
        <w:pBdr/>
        <w:spacing/>
        <w:ind/>
      </w:pPr>
      <w:tblPr>
        <w:tblBorders/>
      </w:tblPr>
      <w:tcPr>
        <w:shd w:val="clear" w:color="9bbb59" w:themeColor="accent3" w:fill="9bbb59" w:themeFill="accent3"/>
        <w:tcBorders/>
      </w:tcPr>
    </w:tblStylePr>
    <w:tblStylePr w:type="lastCol">
      <w:rPr>
        <w:rFonts w:ascii="Arial" w:hAnsi="Arial"/>
        <w:b/>
        <w:color w:val="ffffff"/>
        <w:sz w:val="22"/>
      </w:rPr>
      <w:pPr>
        <w:pBdr/>
        <w:spacing/>
        <w:ind/>
      </w:pPr>
      <w:tblPr>
        <w:tblBorders/>
      </w:tblPr>
      <w:tcPr>
        <w:shd w:val="clear" w:color="9bbb59" w:themeColor="accent3" w:fill="9bbb59" w:themeFill="accent3"/>
        <w:tcBorders/>
      </w:tcPr>
    </w:tblStylePr>
    <w:tblStylePr w:type="lastRow">
      <w:rPr>
        <w:rFonts w:ascii="Arial" w:hAnsi="Arial"/>
        <w:b/>
        <w:color w:val="ffffff"/>
        <w:sz w:val="22"/>
      </w:rPr>
      <w:pPr>
        <w:pBdr/>
        <w:spacing/>
        <w:ind/>
      </w:pPr>
      <w:tblPr>
        <w:tblBorders/>
      </w:tblPr>
      <w:tcPr>
        <w:shd w:val="clear" w:color="9bbb59" w:themeColor="accent3" w:fill="9bbb59"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8" w:customStyle="1">
    <w:name w:val="Grid Table 5 Dark- Accent 4"/>
    <w:basedOn w:val="982"/>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Pr>
    <w:tcPr>
      <w:tcBorders/>
    </w:tcPr>
    <w:tblStylePr w:type="band1Horz">
      <w:pPr>
        <w:pBdr/>
        <w:spacing/>
        <w:ind/>
      </w:pPr>
      <w:tblPr>
        <w:tblBorders/>
      </w:tblPr>
      <w:tcPr>
        <w:shd w:val="clear" w:color="c4b7d4" w:themeColor="accent4" w:themeTint="75" w:fill="c4b7d4" w:themeFill="accent4" w:themeFillTint="75"/>
        <w:tcBorders/>
      </w:tcPr>
    </w:tblStylePr>
    <w:tblStylePr w:type="band1Vert">
      <w:pPr>
        <w:pBdr/>
        <w:spacing/>
        <w:ind/>
      </w:pPr>
      <w:tblPr>
        <w:tblBorders/>
      </w:tblPr>
      <w:tcPr>
        <w:shd w:val="clear" w:color="c4b7d4"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8064a2" w:themeColor="accent4" w:fill="8064a2" w:themeFill="accent4"/>
        <w:tcBorders/>
      </w:tcPr>
    </w:tblStylePr>
    <w:tblStylePr w:type="firstRow">
      <w:rPr>
        <w:rFonts w:ascii="Arial" w:hAnsi="Arial"/>
        <w:b/>
        <w:color w:val="ffffff"/>
        <w:sz w:val="22"/>
      </w:rPr>
      <w:pPr>
        <w:pBdr/>
        <w:spacing/>
        <w:ind/>
      </w:pPr>
      <w:tblPr>
        <w:tblBorders/>
      </w:tblPr>
      <w:tcPr>
        <w:shd w:val="clear" w:color="8064a2" w:themeColor="accent4" w:fill="8064a2" w:themeFill="accent4"/>
        <w:tcBorders/>
      </w:tcPr>
    </w:tblStylePr>
    <w:tblStylePr w:type="lastCol">
      <w:rPr>
        <w:rFonts w:ascii="Arial" w:hAnsi="Arial"/>
        <w:b/>
        <w:color w:val="ffffff"/>
        <w:sz w:val="22"/>
      </w:rPr>
      <w:pPr>
        <w:pBdr/>
        <w:spacing/>
        <w:ind/>
      </w:pPr>
      <w:tblPr>
        <w:tblBorders/>
      </w:tblPr>
      <w:tcPr>
        <w:shd w:val="clear" w:color="8064a2" w:themeColor="accent4" w:fill="8064a2" w:themeFill="accent4"/>
        <w:tcBorders/>
      </w:tcPr>
    </w:tblStylePr>
    <w:tblStylePr w:type="lastRow">
      <w:rPr>
        <w:rFonts w:ascii="Arial" w:hAnsi="Arial"/>
        <w:b/>
        <w:color w:val="ffffff"/>
        <w:sz w:val="22"/>
      </w:rPr>
      <w:pPr>
        <w:pBdr/>
        <w:spacing/>
        <w:ind/>
      </w:pPr>
      <w:tblPr>
        <w:tblBorders/>
      </w:tblPr>
      <w:tcPr>
        <w:shd w:val="clear" w:color="8064a2" w:themeColor="accent4" w:fill="8064a2"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9" w:customStyle="1">
    <w:name w:val="Grid Table 5 Dark - Accent 5"/>
    <w:basedOn w:val="982"/>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Pr>
    <w:tcPr>
      <w:tcBorders/>
    </w:tcPr>
    <w:tblStylePr w:type="band1Horz">
      <w:pPr>
        <w:pBdr/>
        <w:spacing/>
        <w:ind/>
      </w:pPr>
      <w:tblPr>
        <w:tblBorders/>
      </w:tblPr>
      <w:tcPr>
        <w:shd w:val="clear" w:color="acd8e4" w:themeColor="accent5" w:themeTint="75" w:fill="acd8e4" w:themeFill="accent5" w:themeFillTint="75"/>
        <w:tcBorders/>
      </w:tcPr>
    </w:tblStylePr>
    <w:tblStylePr w:type="band1Vert">
      <w:pPr>
        <w:pBdr/>
        <w:spacing/>
        <w:ind/>
      </w:pPr>
      <w:tblPr>
        <w:tblBorders/>
      </w:tblPr>
      <w:tcPr>
        <w:shd w:val="clear" w:color="acd8e4" w:themeColor="accent5" w:themeTint="75" w:fill="acd8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bacc6" w:themeColor="accent5" w:fill="4bacc6" w:themeFill="accent5"/>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cPr>
    </w:tblStylePr>
    <w:tblStylePr w:type="lastCol">
      <w:rPr>
        <w:rFonts w:ascii="Arial" w:hAnsi="Arial"/>
        <w:b/>
        <w:color w:val="ffffff"/>
        <w:sz w:val="22"/>
      </w:rPr>
      <w:pPr>
        <w:pBdr/>
        <w:spacing/>
        <w:ind/>
      </w:pPr>
      <w:tblPr>
        <w:tblBorders/>
      </w:tblPr>
      <w:tcPr>
        <w:shd w:val="clear" w:color="4bacc6" w:themeColor="accent5" w:fill="4bacc6" w:themeFill="accent5"/>
        <w:tcBorders/>
      </w:tcPr>
    </w:tblStylePr>
    <w:tblStylePr w:type="lastRow">
      <w:rPr>
        <w:rFonts w:ascii="Arial" w:hAnsi="Arial"/>
        <w:b/>
        <w:color w:val="ffffff"/>
        <w:sz w:val="22"/>
      </w:rPr>
      <w:pPr>
        <w:pBdr/>
        <w:spacing/>
        <w:ind/>
      </w:pPr>
      <w:tblPr>
        <w:tblBorders/>
      </w:tblPr>
      <w:tcPr>
        <w:shd w:val="clear" w:color="4bacc6" w:themeColor="accent5" w:fill="4bacc6"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0" w:customStyle="1">
    <w:name w:val="Grid Table 5 Dark - Accent 6"/>
    <w:basedOn w:val="982"/>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Pr>
    <w:tcPr>
      <w:tcBorders/>
    </w:tcPr>
    <w:tblStylePr w:type="band1Horz">
      <w:pPr>
        <w:pBdr/>
        <w:spacing/>
        <w:ind/>
      </w:pPr>
      <w:tblPr>
        <w:tblBorders/>
      </w:tblPr>
      <w:tcPr>
        <w:shd w:val="clear" w:color="fbceaa" w:themeColor="accent6" w:themeTint="75" w:fill="fbceaa" w:themeFill="accent6" w:themeFillTint="75"/>
        <w:tcBorders/>
      </w:tcPr>
    </w:tblStylePr>
    <w:tblStylePr w:type="band1Vert">
      <w:pPr>
        <w:pBdr/>
        <w:spacing/>
        <w:ind/>
      </w:pPr>
      <w:tblPr>
        <w:tblBorders/>
      </w:tblPr>
      <w:tcPr>
        <w:shd w:val="clear" w:color="fbceaa" w:themeColor="accent6" w:themeTint="75" w:fill="fbce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79646" w:themeColor="accent6" w:fill="f79646" w:themeFill="accent6"/>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cPr>
    </w:tblStylePr>
    <w:tblStylePr w:type="lastCol">
      <w:rPr>
        <w:rFonts w:ascii="Arial" w:hAnsi="Arial"/>
        <w:b/>
        <w:color w:val="ffffff"/>
        <w:sz w:val="22"/>
      </w:rPr>
      <w:pPr>
        <w:pBdr/>
        <w:spacing/>
        <w:ind/>
      </w:pPr>
      <w:tblPr>
        <w:tblBorders/>
      </w:tblPr>
      <w:tcPr>
        <w:shd w:val="clear" w:color="f79646" w:themeColor="accent6" w:fill="f79646" w:themeFill="accent6"/>
        <w:tcBorders/>
      </w:tcPr>
    </w:tblStylePr>
    <w:tblStylePr w:type="lastRow">
      <w:rPr>
        <w:rFonts w:ascii="Arial" w:hAnsi="Arial"/>
        <w:b/>
        <w:color w:val="ffffff"/>
        <w:sz w:val="22"/>
      </w:rPr>
      <w:pPr>
        <w:pBdr/>
        <w:spacing/>
        <w:ind/>
      </w:pPr>
      <w:tblPr>
        <w:tblBorders/>
      </w:tblPr>
      <w:tcPr>
        <w:shd w:val="clear" w:color="f79646" w:themeColor="accent6" w:fill="f79646"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1">
    <w:name w:val="Grid Table 6 Colorful"/>
    <w:basedOn w:val="982"/>
    <w:uiPriority w:val="99"/>
    <w:pPr>
      <w:pBdr/>
      <w:spacing/>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2" w:customStyle="1">
    <w:name w:val="Grid Table 6 Colorful - Accent 1"/>
    <w:basedOn w:val="982"/>
    <w:uiPriority w:val="99"/>
    <w:pPr>
      <w:pBdr/>
      <w:spacing/>
      <w:ind/>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6bfdd" w:themeColor="accent1" w:themeTint="80" w:themeShade="95"/>
        <w:sz w:val="22"/>
      </w:rPr>
      <w:pPr>
        <w:pBdr/>
        <w:spacing/>
        <w:ind/>
      </w:pPr>
      <w:tblPr>
        <w:tblBorders/>
      </w:tblPr>
      <w:tcPr>
        <w:shd w:val="clear" w:color="dae5f1" w:themeColor="accent1" w:themeTint="34" w:fill="dae5f1" w:themeFill="accent1" w:themeFillTint="34"/>
        <w:tcBorders/>
      </w:tcPr>
    </w:tblStylePr>
    <w:tblStylePr w:type="band1Vert">
      <w:pPr>
        <w:pBdr/>
        <w:spacing/>
        <w:ind/>
      </w:pPr>
      <w:tblPr>
        <w:tblBorders/>
      </w:tblPr>
      <w:tcPr>
        <w:shd w:val="clear" w:color="dae5f1" w:themeColor="accent1" w:themeTint="34" w:fill="da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6bfdd" w:themeColor="accent1" w:themeTint="80" w:themeShade="95"/>
      </w:rPr>
      <w:pPr>
        <w:pBdr/>
        <w:spacing/>
        <w:ind/>
      </w:pPr>
      <w:tblPr>
        <w:tblBorders/>
      </w:tblPr>
      <w:tcPr>
        <w:tcBorders/>
      </w:tcPr>
    </w:tblStylePr>
    <w:tblStylePr w:type="firstRow">
      <w:rPr>
        <w:b/>
        <w:color w:val="a6bfdd" w:themeColor="accent1" w:themeTint="80" w:themeShade="95"/>
      </w:rPr>
      <w:pPr>
        <w:pBdr/>
        <w:spacing/>
        <w:ind/>
      </w:pPr>
      <w:tblPr>
        <w:tblBorders/>
      </w:tblPr>
      <w:tcPr>
        <w:tcBorders>
          <w:bottom w:val="single" w:color="a6bfdd" w:themeColor="accent1" w:themeTint="80" w:sz="12" w:space="0"/>
        </w:tcBorders>
      </w:tcPr>
    </w:tblStylePr>
    <w:tblStylePr w:type="lastCol">
      <w:rPr>
        <w:b/>
        <w:color w:val="a6bfdd" w:themeColor="accent1" w:themeTint="80" w:themeShade="95"/>
      </w:rPr>
      <w:pPr>
        <w:pBdr/>
        <w:spacing/>
        <w:ind/>
      </w:pPr>
      <w:tblPr>
        <w:tblBorders/>
      </w:tblPr>
      <w:tcPr>
        <w:tcBorders/>
      </w:tcPr>
    </w:tblStylePr>
    <w:tblStylePr w:type="lastRow">
      <w:rPr>
        <w:b/>
        <w:color w:val="a6bfd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3" w:customStyle="1">
    <w:name w:val="Grid Table 6 Colorful - Accent 2"/>
    <w:basedOn w:val="982"/>
    <w:uiPriority w:val="99"/>
    <w:pPr>
      <w:pBdr/>
      <w:spacing/>
      <w:ind/>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f2dcdc" w:themeColor="accent2" w:themeTint="32" w:fill="f2dcdc" w:themeFill="accent2" w:themeFillTint="32"/>
        <w:tcBorders/>
      </w:tcPr>
    </w:tblStylePr>
    <w:tblStylePr w:type="band1Vert">
      <w:pPr>
        <w:pBdr/>
        <w:spacing/>
        <w:ind/>
      </w:pPr>
      <w:tblPr>
        <w:tblBorders/>
      </w:tblPr>
      <w:tcPr>
        <w:shd w:val="clear" w:color="f2dcdc" w:themeColor="accent2" w:themeTint="32" w:fill="f2dcdc" w:themeFill="accent2" w:themeFillTint="3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12"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4" w:customStyle="1">
    <w:name w:val="Grid Table 6 Colorful - Accent 3"/>
    <w:basedOn w:val="982"/>
    <w:uiPriority w:val="99"/>
    <w:pPr>
      <w:pBdr/>
      <w:spacing/>
      <w:ind/>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9abb59" w:themeColor="accent3" w:themeTint="FE" w:themeShade="95"/>
        <w:sz w:val="22"/>
      </w:rPr>
      <w:pPr>
        <w:pBdr/>
        <w:spacing/>
        <w:ind/>
      </w:pPr>
      <w:tblPr>
        <w:tblBorders/>
      </w:tblPr>
      <w:tcPr>
        <w:shd w:val="clear" w:color="eaf1dc" w:themeColor="accent3" w:themeTint="34" w:fill="eaf1dc" w:themeFill="accent3" w:themeFillTint="34"/>
        <w:tcBorders/>
      </w:tcPr>
    </w:tblStylePr>
    <w:tblStylePr w:type="band1Vert">
      <w:pPr>
        <w:pBdr/>
        <w:spacing/>
        <w:ind/>
      </w:pPr>
      <w:tblPr>
        <w:tblBorders/>
      </w:tblPr>
      <w:tcPr>
        <w:shd w:val="clear" w:color="eaf1dc" w:themeColor="accent3" w:themeTint="34" w:fill="eaf1dc" w:themeFill="accent3" w:themeFillTint="34"/>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abb59" w:themeColor="accent3" w:themeTint="FE" w:themeShade="95"/>
      </w:rPr>
      <w:pPr>
        <w:pBdr/>
        <w:spacing/>
        <w:ind/>
      </w:pPr>
      <w:tblPr>
        <w:tblBorders/>
      </w:tblPr>
      <w:tcPr>
        <w:tcBorders/>
      </w:tcPr>
    </w:tblStylePr>
    <w:tblStylePr w:type="firstRow">
      <w:rPr>
        <w:b/>
        <w:color w:val="9abb59" w:themeColor="accent3" w:themeTint="FE" w:themeShade="95"/>
      </w:rPr>
      <w:pPr>
        <w:pBdr/>
        <w:spacing/>
        <w:ind/>
      </w:pPr>
      <w:tblPr>
        <w:tblBorders/>
      </w:tblPr>
      <w:tcPr>
        <w:tcBorders>
          <w:bottom w:val="single" w:color="9abb59" w:themeColor="accent3" w:themeTint="FE" w:sz="12" w:space="0"/>
        </w:tcBorders>
      </w:tcPr>
    </w:tblStylePr>
    <w:tblStylePr w:type="lastCol">
      <w:rPr>
        <w:b/>
        <w:color w:val="9abb59" w:themeColor="accent3" w:themeTint="FE" w:themeShade="95"/>
      </w:rPr>
      <w:pPr>
        <w:pBdr/>
        <w:spacing/>
        <w:ind/>
      </w:pPr>
      <w:tblPr>
        <w:tblBorders/>
      </w:tblPr>
      <w:tcPr>
        <w:tcBorders/>
      </w:tcPr>
    </w:tblStylePr>
    <w:tblStylePr w:type="lastRow">
      <w:rPr>
        <w:b/>
        <w:color w:val="9abb59"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5" w:customStyle="1">
    <w:name w:val="Grid Table 6 Colorful - Accent 4"/>
    <w:basedOn w:val="982"/>
    <w:uiPriority w:val="99"/>
    <w:pPr>
      <w:pBdr/>
      <w:spacing/>
      <w:ind/>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e5dfec" w:themeColor="accent4" w:themeTint="34" w:fill="e5dfec" w:themeFill="accent4" w:themeFillTint="34"/>
        <w:tcBorders/>
      </w:tcPr>
    </w:tblStylePr>
    <w:tblStylePr w:type="band1Vert">
      <w:pPr>
        <w:pBdr/>
        <w:spacing/>
        <w:ind/>
      </w:pPr>
      <w:tblPr>
        <w:tblBorders/>
      </w:tblPr>
      <w:tcPr>
        <w:shd w:val="clear" w:color="e5dfec" w:themeColor="accent4" w:themeTint="34"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12"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6" w:customStyle="1">
    <w:name w:val="Grid Table 6 Colorful - Accent 5"/>
    <w:basedOn w:val="982"/>
    <w:uiPriority w:val="99"/>
    <w:pPr>
      <w:pBdr/>
      <w:spacing/>
      <w:ind/>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266779" w:themeColor="accent5" w:themeShade="95"/>
        <w:sz w:val="22"/>
      </w:rPr>
      <w:pPr>
        <w:pBdr/>
        <w:spacing/>
        <w:ind/>
      </w:pPr>
      <w:tblPr>
        <w:tblBorders/>
      </w:tblPr>
      <w:tcPr>
        <w:shd w:val="clear" w:color="daeef3" w:themeColor="accent5" w:themeTint="34" w:fill="daeef3" w:themeFill="accent5" w:themeFillTint="34"/>
        <w:tcBorders/>
      </w:tcPr>
    </w:tblStylePr>
    <w:tblStylePr w:type="band1Vert">
      <w:pPr>
        <w:pBdr/>
        <w:spacing/>
        <w:ind/>
      </w:pPr>
      <w:tblPr>
        <w:tblBorders/>
      </w:tblPr>
      <w:tcPr>
        <w:shd w:val="clear" w:color="daeef3" w:themeColor="accent5" w:themeTint="34"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4bacc6" w:themeColor="accent5"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7" w:customStyle="1">
    <w:name w:val="Grid Table 6 Colorful - Accent 6"/>
    <w:basedOn w:val="982"/>
    <w:uiPriority w:val="99"/>
    <w:pPr>
      <w:pBdr/>
      <w:spacing/>
      <w:ind/>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266779" w:themeColor="accent5" w:themeShade="95"/>
        <w:sz w:val="22"/>
      </w:rPr>
      <w:pPr>
        <w:pBdr/>
        <w:spacing/>
        <w:ind/>
      </w:pPr>
      <w:tblPr>
        <w:tblBorders/>
      </w:tblPr>
      <w:tcPr>
        <w:shd w:val="clear" w:color="fde9d8" w:themeColor="accent6" w:themeTint="34" w:fill="fde9d8" w:themeFill="accent6" w:themeFillTint="34"/>
        <w:tcBorders/>
      </w:tcPr>
    </w:tblStylePr>
    <w:tblStylePr w:type="band1Vert">
      <w:pPr>
        <w:pBdr/>
        <w:spacing/>
        <w:ind/>
      </w:pPr>
      <w:tblPr>
        <w:tblBorders/>
      </w:tblPr>
      <w:tcPr>
        <w:shd w:val="clear" w:color="fde9d8" w:themeColor="accent6" w:themeTint="34" w:fill="fde9d8" w:themeFill="accent6"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f79646" w:themeColor="accent6"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8">
    <w:name w:val="Grid Table 7 Colorful"/>
    <w:basedOn w:val="982"/>
    <w:uiPriority w:val="99"/>
    <w:pPr>
      <w:pBdr/>
      <w:spacing/>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9" w:customStyle="1">
    <w:name w:val="Grid Table 7 Colorful - Accent 1"/>
    <w:basedOn w:val="982"/>
    <w:uiPriority w:val="99"/>
    <w:pPr>
      <w:pBdr/>
      <w:spacing/>
      <w:ind/>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6bfdd" w:themeColor="accent1" w:themeTint="80" w:themeShade="95"/>
        <w:sz w:val="22"/>
      </w:rPr>
      <w:pPr>
        <w:pBdr/>
        <w:spacing/>
        <w:ind/>
      </w:pPr>
      <w:tblPr>
        <w:tblBorders/>
      </w:tblPr>
      <w:tcPr>
        <w:shd w:val="clear" w:color="dae5f1" w:themeColor="accent1" w:themeTint="34" w:fill="dae5f1" w:themeFill="accent1" w:themeFillTint="34"/>
        <w:tcBorders/>
      </w:tcPr>
    </w:tblStylePr>
    <w:tblStylePr w:type="band1Vert">
      <w:pPr>
        <w:pBdr/>
        <w:spacing/>
        <w:ind/>
      </w:pPr>
      <w:tblPr>
        <w:tblBorders/>
      </w:tblPr>
      <w:tcPr>
        <w:shd w:val="clear" w:color="dae5f1" w:themeColor="accent1" w:themeTint="34" w:fill="da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6bfdd" w:themeColor="accen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pPr>
        <w:pBdr/>
        <w:spacing/>
        <w:ind/>
      </w:pPr>
      <w:tblPr>
        <w:tblBorders/>
      </w:tbl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pPr>
        <w:pBdr/>
        <w:spacing/>
        <w:ind/>
      </w:pPr>
      <w:tblPr>
        <w:tblBorders/>
      </w:tbl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0" w:customStyle="1">
    <w:name w:val="Grid Table 7 Colorful - Accent 2"/>
    <w:basedOn w:val="982"/>
    <w:uiPriority w:val="99"/>
    <w:pPr>
      <w:pBdr/>
      <w:spacing/>
      <w:ind/>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f2dcdc" w:themeColor="accent2" w:themeTint="32" w:fill="f2dcdc" w:themeFill="accent2" w:themeFillTint="32"/>
        <w:tcBorders/>
      </w:tcPr>
    </w:tblStylePr>
    <w:tblStylePr w:type="band1Vert">
      <w:pPr>
        <w:pBdr/>
        <w:spacing/>
        <w:ind/>
      </w:pPr>
      <w:tblPr>
        <w:tblBorders/>
      </w:tblPr>
      <w:tcPr>
        <w:shd w:val="clear" w:color="f2dcdc" w:themeColor="accent2" w:themeTint="32" w:fill="f2dcdc" w:themeFill="accent2" w:themeFillTint="3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pPr>
        <w:pBdr/>
        <w:spacing/>
        <w:ind/>
      </w:pPr>
      <w:tblPr>
        <w:tblBorders/>
      </w:tbl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pPr>
        <w:pBdr/>
        <w:spacing/>
        <w:ind/>
      </w:pPr>
      <w:tblPr>
        <w:tblBorders/>
      </w:tbl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1" w:customStyle="1">
    <w:name w:val="Grid Table 7 Colorful - Accent 3"/>
    <w:basedOn w:val="982"/>
    <w:uiPriority w:val="99"/>
    <w:pPr>
      <w:pBdr/>
      <w:spacing/>
      <w:ind/>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9abb59" w:themeColor="accent3" w:themeTint="FE" w:themeShade="95"/>
        <w:sz w:val="22"/>
      </w:rPr>
      <w:pPr>
        <w:pBdr/>
        <w:spacing/>
        <w:ind/>
      </w:pPr>
      <w:tblPr>
        <w:tblBorders/>
      </w:tblPr>
      <w:tcPr>
        <w:shd w:val="clear" w:color="eaf1dc" w:themeColor="accent3" w:themeTint="34" w:fill="eaf1dc" w:themeFill="accent3" w:themeFillTint="34"/>
        <w:tcBorders/>
      </w:tcPr>
    </w:tblStylePr>
    <w:tblStylePr w:type="band1Vert">
      <w:pPr>
        <w:pBdr/>
        <w:spacing/>
        <w:ind/>
      </w:pPr>
      <w:tblPr>
        <w:tblBorders/>
      </w:tblPr>
      <w:tcPr>
        <w:shd w:val="clear" w:color="eaf1dc" w:themeColor="accent3" w:themeTint="34" w:fill="eaf1dc" w:themeFill="accent3" w:themeFillTint="34"/>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abb59" w:themeColor="accent3" w:themeTint="FE"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pPr>
        <w:pBdr/>
        <w:spacing/>
        <w:ind/>
      </w:pPr>
      <w:tblPr>
        <w:tblBorders/>
      </w:tbl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pPr>
        <w:pBdr/>
        <w:spacing/>
        <w:ind/>
      </w:pPr>
      <w:tblPr>
        <w:tblBorders/>
      </w:tbl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2" w:customStyle="1">
    <w:name w:val="Grid Table 7 Colorful - Accent 4"/>
    <w:basedOn w:val="982"/>
    <w:uiPriority w:val="99"/>
    <w:pPr>
      <w:pBdr/>
      <w:spacing/>
      <w:ind/>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e5dfec" w:themeColor="accent4" w:themeTint="34" w:fill="e5dfec" w:themeFill="accent4" w:themeFillTint="34"/>
        <w:tcBorders/>
      </w:tcPr>
    </w:tblStylePr>
    <w:tblStylePr w:type="band1Vert">
      <w:pPr>
        <w:pBdr/>
        <w:spacing/>
        <w:ind/>
      </w:pPr>
      <w:tblPr>
        <w:tblBorders/>
      </w:tblPr>
      <w:tcPr>
        <w:shd w:val="clear" w:color="e5dfec" w:themeColor="accent4" w:themeTint="34"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pPr>
        <w:pBdr/>
        <w:spacing/>
        <w:ind/>
      </w:pPr>
      <w:tblPr>
        <w:tblBorders/>
      </w:tbl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3" w:customStyle="1">
    <w:name w:val="Grid Table 7 Colorful - Accent 5"/>
    <w:basedOn w:val="982"/>
    <w:uiPriority w:val="99"/>
    <w:pPr>
      <w:pBdr/>
      <w:spacing/>
      <w:ind/>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266779" w:themeColor="accent5" w:themeShade="95"/>
        <w:sz w:val="22"/>
      </w:rPr>
      <w:pPr>
        <w:pBdr/>
        <w:spacing/>
        <w:ind/>
      </w:pPr>
      <w:tblPr>
        <w:tblBorders/>
      </w:tblPr>
      <w:tcPr>
        <w:shd w:val="clear" w:color="daeef3" w:themeColor="accent5" w:themeTint="34" w:fill="daeef3" w:themeFill="accent5" w:themeFillTint="34"/>
        <w:tcBorders/>
      </w:tcPr>
    </w:tblStylePr>
    <w:tblStylePr w:type="band1Vert">
      <w:pPr>
        <w:pBdr/>
        <w:spacing/>
        <w:ind/>
      </w:pPr>
      <w:tblPr>
        <w:tblBorders/>
      </w:tblPr>
      <w:tcPr>
        <w:shd w:val="clear" w:color="daeef3" w:themeColor="accent5" w:themeTint="34"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9" w:themeColor="accent5"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pPr>
        <w:pBdr/>
        <w:spacing/>
        <w:ind/>
      </w:pPr>
      <w:tblPr>
        <w:tblBorders/>
      </w:tbl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pPr>
        <w:pBdr/>
        <w:spacing/>
        <w:ind/>
      </w:pPr>
      <w:tblPr>
        <w:tblBorders/>
      </w:tbl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4" w:customStyle="1">
    <w:name w:val="Grid Table 7 Colorful - Accent 6"/>
    <w:basedOn w:val="982"/>
    <w:uiPriority w:val="99"/>
    <w:pPr>
      <w:pBdr/>
      <w:spacing/>
      <w:ind/>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b15407" w:themeColor="accent6" w:themeShade="95"/>
        <w:sz w:val="22"/>
      </w:rPr>
      <w:pPr>
        <w:pBdr/>
        <w:spacing/>
        <w:ind/>
      </w:pPr>
      <w:tblPr>
        <w:tblBorders/>
      </w:tblPr>
      <w:tcPr>
        <w:shd w:val="clear" w:color="fde9d8" w:themeColor="accent6" w:themeTint="34" w:fill="fde9d8" w:themeFill="accent6" w:themeFillTint="34"/>
        <w:tcBorders/>
      </w:tcPr>
    </w:tblStylePr>
    <w:tblStylePr w:type="band1Vert">
      <w:pPr>
        <w:pBdr/>
        <w:spacing/>
        <w:ind/>
      </w:pPr>
      <w:tblPr>
        <w:tblBorders/>
      </w:tblPr>
      <w:tcPr>
        <w:shd w:val="clear" w:color="fde9d8" w:themeColor="accent6" w:themeTint="34" w:fill="fde9d8" w:themeFill="accent6" w:themeFillTint="34"/>
        <w:tcBorders/>
      </w:tcPr>
    </w:tblStylePr>
    <w:tblStylePr w:type="band2Horz">
      <w:rPr>
        <w:rFonts w:ascii="Arial" w:hAnsi="Arial"/>
        <w:color w:val="b154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15407" w:themeColor="accent6"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pPr>
        <w:pBdr/>
        <w:spacing/>
        <w:ind/>
      </w:pPr>
      <w:tblPr>
        <w:tblBorders/>
      </w:tbl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pPr>
        <w:pBdr/>
        <w:spacing/>
        <w:ind/>
      </w:pPr>
      <w:tblPr>
        <w:tblBorders/>
      </w:tbl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5">
    <w:name w:val="List Table 1 Light"/>
    <w:basedOn w:val="982"/>
    <w:uiPriority w:val="99"/>
    <w:pPr>
      <w:pBdr/>
      <w:spacing/>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6" w:customStyle="1">
    <w:name w:val="List Table 1 Light - Accent 1"/>
    <w:basedOn w:val="982"/>
    <w:uiPriority w:val="99"/>
    <w:pPr>
      <w:pBdr/>
      <w:spacing/>
      <w:ind/>
    </w:pPr>
    <w:tblPr>
      <w:tblStyleRowBandSize w:val="1"/>
      <w:tblStyleColBandSize w:val="1"/>
      <w:tblBorders/>
    </w:tblPr>
    <w:tcPr>
      <w:tcBorders/>
    </w:tcPr>
    <w:tblStylePr w:type="band1Horz">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7" w:customStyle="1">
    <w:name w:val="List Table 1 Light - Accent 2"/>
    <w:basedOn w:val="982"/>
    <w:uiPriority w:val="99"/>
    <w:pPr>
      <w:pBdr/>
      <w:spacing/>
      <w:ind/>
    </w:pPr>
    <w:tblPr>
      <w:tblStyleRowBandSize w:val="1"/>
      <w:tblStyleColBandSize w:val="1"/>
      <w:tblBorders/>
    </w:tblPr>
    <w:tcPr>
      <w:tcBorders/>
    </w:tcPr>
    <w:tblStylePr w:type="band1Horz">
      <w:pPr>
        <w:pBdr/>
        <w:spacing/>
        <w:ind/>
      </w:pPr>
      <w:tblPr>
        <w:tblBorders/>
      </w:tblPr>
      <w:tcPr>
        <w:shd w:val="clear" w:color="efd2d2" w:themeColor="accent2" w:themeTint="40" w:fill="efd2d2" w:themeFill="accent2" w:themeFillTint="40"/>
        <w:tcBorders/>
      </w:tcPr>
    </w:tblStylePr>
    <w:tblStylePr w:type="band1Vert">
      <w:pPr>
        <w:pBdr/>
        <w:spacing/>
        <w:ind/>
      </w:pPr>
      <w:tblPr>
        <w:tblBorders/>
      </w:tblPr>
      <w:tcPr>
        <w:shd w:val="clear" w:color="efd2d2" w:themeColor="accent2" w:themeTint="40"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c0504d"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8" w:customStyle="1">
    <w:name w:val="List Table 1 Light - Accent 3"/>
    <w:basedOn w:val="982"/>
    <w:uiPriority w:val="99"/>
    <w:pPr>
      <w:pBdr/>
      <w:spacing/>
      <w:ind/>
    </w:pPr>
    <w:tblPr>
      <w:tblStyleRowBandSize w:val="1"/>
      <w:tblStyleColBandSize w:val="1"/>
      <w:tblBorders/>
    </w:tblPr>
    <w:tcPr>
      <w:tcBorders/>
    </w:tcPr>
    <w:tblStylePr w:type="band1Horz">
      <w:pPr>
        <w:pBdr/>
        <w:spacing/>
        <w:ind/>
      </w:pPr>
      <w:tblPr>
        <w:tblBorders/>
      </w:tblPr>
      <w:tcPr>
        <w:shd w:val="clear" w:color="e5eed5" w:themeColor="accent3" w:themeTint="40" w:fill="e5eed5" w:themeFill="accent3" w:themeFillTint="40"/>
        <w:tcBorders/>
      </w:tcPr>
    </w:tblStylePr>
    <w:tblStylePr w:type="band1Vert">
      <w:pPr>
        <w:pBdr/>
        <w:spacing/>
        <w:ind/>
      </w:pPr>
      <w:tblPr>
        <w:tblBorders/>
      </w:tblPr>
      <w:tcPr>
        <w:shd w:val="clear" w:color="e5eed5" w:themeColor="accent3" w:themeTint="40"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bbb59"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9" w:customStyle="1">
    <w:name w:val="List Table 1 Light - Accent 4"/>
    <w:basedOn w:val="982"/>
    <w:uiPriority w:val="99"/>
    <w:pPr>
      <w:pBdr/>
      <w:spacing/>
      <w:ind/>
    </w:pPr>
    <w:tblPr>
      <w:tblStyleRowBandSize w:val="1"/>
      <w:tblStyleColBandSize w:val="1"/>
      <w:tblBorders/>
    </w:tblPr>
    <w:tcPr>
      <w:tcBorders/>
    </w:tcPr>
    <w:tblStylePr w:type="band1Horz">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8064a2"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0" w:customStyle="1">
    <w:name w:val="List Table 1 Light - Accent 5"/>
    <w:basedOn w:val="982"/>
    <w:uiPriority w:val="99"/>
    <w:pPr>
      <w:pBdr/>
      <w:spacing/>
      <w:ind/>
    </w:pPr>
    <w:tblPr>
      <w:tblStyleRowBandSize w:val="1"/>
      <w:tblStyleColBandSize w:val="1"/>
      <w:tblBorders/>
    </w:tblPr>
    <w:tcPr>
      <w:tcBorders/>
    </w:tcPr>
    <w:tblStylePr w:type="band1Horz">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1" w:customStyle="1">
    <w:name w:val="List Table 1 Light - Accent 6"/>
    <w:basedOn w:val="982"/>
    <w:uiPriority w:val="99"/>
    <w:pPr>
      <w:pBdr/>
      <w:spacing/>
      <w:ind/>
    </w:pPr>
    <w:tblPr>
      <w:tblStyleRowBandSize w:val="1"/>
      <w:tblStyleColBandSize w:val="1"/>
      <w:tblBorders/>
    </w:tblPr>
    <w:tcPr>
      <w:tcBorders/>
    </w:tcPr>
    <w:tblStylePr w:type="band1Horz">
      <w:pPr>
        <w:pBdr/>
        <w:spacing/>
        <w:ind/>
      </w:pPr>
      <w:tblPr>
        <w:tblBorders/>
      </w:tblPr>
      <w:tcPr>
        <w:shd w:val="clear" w:color="fde4d0" w:themeColor="accent6" w:themeTint="40" w:fill="fde4d0" w:themeFill="accent6" w:themeFillTint="40"/>
        <w:tcBorders/>
      </w:tcPr>
    </w:tblStylePr>
    <w:tblStylePr w:type="band1Vert">
      <w:pPr>
        <w:pBdr/>
        <w:spacing/>
        <w:ind/>
      </w:pPr>
      <w:tblPr>
        <w:tblBorders/>
      </w:tblPr>
      <w:tcPr>
        <w:shd w:val="clear" w:color="fde4d0" w:themeColor="accent6" w:themeTint="4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2">
    <w:name w:val="List Table 2"/>
    <w:basedOn w:val="982"/>
    <w:uiPriority w:val="99"/>
    <w:pPr>
      <w:pBdr/>
      <w:spacing/>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3" w:customStyle="1">
    <w:name w:val="List Table 2 - Accent 1"/>
    <w:basedOn w:val="982"/>
    <w:uiPriority w:val="99"/>
    <w:pPr>
      <w:pBdr/>
      <w:spacing/>
      <w:ind/>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1Vert">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4" w:customStyle="1">
    <w:name w:val="List Table 2 - Accent 2"/>
    <w:basedOn w:val="982"/>
    <w:uiPriority w:val="99"/>
    <w:pPr>
      <w:pBdr/>
      <w:spacing/>
      <w:ind/>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1Vert">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5" w:customStyle="1">
    <w:name w:val="List Table 2 - Accent 3"/>
    <w:basedOn w:val="982"/>
    <w:uiPriority w:val="99"/>
    <w:pPr>
      <w:pBdr/>
      <w:spacing/>
      <w:ind/>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1Vert">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6" w:customStyle="1">
    <w:name w:val="List Table 2 - Accent 4"/>
    <w:basedOn w:val="982"/>
    <w:uiPriority w:val="99"/>
    <w:pPr>
      <w:pBdr/>
      <w:spacing/>
      <w:ind/>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7" w:customStyle="1">
    <w:name w:val="List Table 2 - Accent 5"/>
    <w:basedOn w:val="982"/>
    <w:uiPriority w:val="99"/>
    <w:pPr>
      <w:pBdr/>
      <w:spacing/>
      <w:ind/>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8" w:customStyle="1">
    <w:name w:val="List Table 2 - Accent 6"/>
    <w:basedOn w:val="982"/>
    <w:uiPriority w:val="99"/>
    <w:pPr>
      <w:pBdr/>
      <w:spacing/>
      <w:ind/>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1Vert">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9">
    <w:name w:val="List Table 3"/>
    <w:basedOn w:val="982"/>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0" w:customStyle="1">
    <w:name w:val="List Table 3 - Accent 1"/>
    <w:basedOn w:val="982"/>
    <w:uiPriority w:val="99"/>
    <w:pPr>
      <w:pBdr/>
      <w:spacing/>
      <w:ind/>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cPr>
      <w:tcBorders/>
    </w:tcPr>
    <w:tblStylePr w:type="band1Horz">
      <w:rPr>
        <w:rFonts w:ascii="Arial" w:hAnsi="Arial"/>
        <w:color w:val="404040"/>
        <w:sz w:val="22"/>
      </w:rPr>
      <w:pPr>
        <w:pBdr/>
        <w:spacing/>
        <w:ind/>
      </w:pPr>
      <w:tblPr>
        <w:tblBorders/>
      </w:tblPr>
      <w:tcPr>
        <w:tcBorders>
          <w:top w:val="single" w:color="4f81bd" w:themeColor="accent1" w:sz="4" w:space="0"/>
          <w:bottom w:val="single" w:color="4f81bd" w:themeColor="accent1" w:sz="4" w:space="0"/>
        </w:tcBorders>
      </w:tcPr>
    </w:tblStylePr>
    <w:tblStylePr w:type="band1Vert">
      <w:rPr>
        <w:rFonts w:ascii="Arial" w:hAnsi="Arial"/>
        <w:color w:val="404040"/>
        <w:sz w:val="22"/>
      </w:rPr>
      <w:pPr>
        <w:pBdr/>
        <w:spacing/>
        <w:ind/>
      </w:pPr>
      <w:tblPr>
        <w:tblBorders/>
      </w:tblPr>
      <w:tcPr>
        <w:tcBorders>
          <w:left w:val="single" w:color="4f81bd" w:themeColor="accent1" w:sz="4" w:space="0"/>
          <w:right w:val="single" w:color="4f81bd"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1" w:customStyle="1">
    <w:name w:val="List Table 3 - Accent 2"/>
    <w:basedOn w:val="982"/>
    <w:uiPriority w:val="99"/>
    <w:pPr>
      <w:pBdr/>
      <w:spacing/>
      <w:ind/>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pPr>
        <w:pBdr/>
        <w:spacing/>
        <w:ind/>
      </w:pPr>
      <w:tblPr>
        <w:tblBorders/>
      </w:tblPr>
      <w:tcPr>
        <w:tcBorders>
          <w:left w:val="single" w:color="d99695" w:themeColor="accent2" w:themeTint="97" w:sz="4" w:space="0"/>
          <w:right w:val="single" w:color="d99695"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695" w:themeColor="accent2" w:themeTint="97" w:fill="d9969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2" w:customStyle="1">
    <w:name w:val="List Table 3 - Accent 3"/>
    <w:basedOn w:val="982"/>
    <w:uiPriority w:val="99"/>
    <w:pPr>
      <w:pBdr/>
      <w:spacing/>
      <w:ind/>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pPr>
        <w:pBdr/>
        <w:spacing/>
        <w:ind/>
      </w:pPr>
      <w:tblPr>
        <w:tblBorders/>
      </w:tblPr>
      <w:tcPr>
        <w:tcBorders>
          <w:left w:val="single" w:color="c3d69b" w:themeColor="accent3" w:themeTint="98" w:sz="4" w:space="0"/>
          <w:right w:val="single" w:color="c3d69b"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3d69b"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3" w:customStyle="1">
    <w:name w:val="List Table 3 - Accent 4"/>
    <w:basedOn w:val="982"/>
    <w:uiPriority w:val="99"/>
    <w:pPr>
      <w:pBdr/>
      <w:spacing/>
      <w:ind/>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pPr>
        <w:pBdr/>
        <w:spacing/>
        <w:ind/>
      </w:pPr>
      <w:tblPr>
        <w:tblBorders/>
      </w:tblPr>
      <w:tcPr>
        <w:tcBorders>
          <w:left w:val="single" w:color="b2a1c6" w:themeColor="accent4" w:themeTint="9A" w:sz="4" w:space="0"/>
          <w:right w:val="single" w:color="b2a1c6"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4" w:customStyle="1">
    <w:name w:val="List Table 3 - Accent 5"/>
    <w:basedOn w:val="982"/>
    <w:uiPriority w:val="99"/>
    <w:pPr>
      <w:pBdr/>
      <w:spacing/>
      <w:ind/>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pPr>
        <w:pBdr/>
        <w:spacing/>
        <w:ind/>
      </w:pPr>
      <w:tblPr>
        <w:tblBorders/>
      </w:tblPr>
      <w:tcPr>
        <w:tcBorders>
          <w:left w:val="single" w:color="92ccdc" w:themeColor="accent5" w:themeTint="9A" w:sz="4" w:space="0"/>
          <w:right w:val="single" w:color="92ccdc"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2ccdc" w:themeColor="accent5" w:themeTint="9A" w:fill="92cc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5" w:customStyle="1">
    <w:name w:val="List Table 3 - Accent 6"/>
    <w:basedOn w:val="982"/>
    <w:uiPriority w:val="99"/>
    <w:pPr>
      <w:pBdr/>
      <w:spacing/>
      <w:ind/>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pPr>
        <w:pBdr/>
        <w:spacing/>
        <w:ind/>
      </w:pPr>
      <w:tblPr>
        <w:tblBorders/>
      </w:tblPr>
      <w:tcPr>
        <w:tcBorders>
          <w:left w:val="single" w:color="fac090" w:themeColor="accent6" w:themeTint="98" w:sz="4" w:space="0"/>
          <w:right w:val="single" w:color="fac09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ac090" w:themeColor="accent6" w:themeTint="98" w:fill="fac0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6">
    <w:name w:val="List Table 4"/>
    <w:basedOn w:val="982"/>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7" w:customStyle="1">
    <w:name w:val="List Table 4 - Accent 1"/>
    <w:basedOn w:val="982"/>
    <w:uiPriority w:val="99"/>
    <w:pPr>
      <w:pBdr/>
      <w:spacing/>
      <w:ind/>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1Vert">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8" w:customStyle="1">
    <w:name w:val="List Table 4 - Accent 2"/>
    <w:basedOn w:val="982"/>
    <w:uiPriority w:val="99"/>
    <w:pPr>
      <w:pBdr/>
      <w:spacing/>
      <w:ind/>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1Vert">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0504d"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9" w:customStyle="1">
    <w:name w:val="List Table 4 - Accent 3"/>
    <w:basedOn w:val="982"/>
    <w:uiPriority w:val="99"/>
    <w:pPr>
      <w:pBdr/>
      <w:spacing/>
      <w:ind/>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1Vert">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bb59"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0" w:customStyle="1">
    <w:name w:val="List Table 4 - Accent 4"/>
    <w:basedOn w:val="982"/>
    <w:uiPriority w:val="99"/>
    <w:pPr>
      <w:pBdr/>
      <w:spacing/>
      <w:ind/>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8064a2"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1" w:customStyle="1">
    <w:name w:val="List Table 4 - Accent 5"/>
    <w:basedOn w:val="982"/>
    <w:uiPriority w:val="99"/>
    <w:pPr>
      <w:pBdr/>
      <w:spacing/>
      <w:ind/>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2" w:customStyle="1">
    <w:name w:val="List Table 4 - Accent 6"/>
    <w:basedOn w:val="982"/>
    <w:uiPriority w:val="99"/>
    <w:pPr>
      <w:pBdr/>
      <w:spacing/>
      <w:ind/>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1Vert">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3">
    <w:name w:val="List Table 5 Dark"/>
    <w:basedOn w:val="982"/>
    <w:uiPriority w:val="99"/>
    <w:pPr>
      <w:pBdr/>
      <w:spacing/>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4" w:customStyle="1">
    <w:name w:val="List Table 5 Dark - Accent 1"/>
    <w:basedOn w:val="982"/>
    <w:uiPriority w:val="99"/>
    <w:pPr>
      <w:pBdr/>
      <w:spacing/>
      <w:ind/>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Pr>
    <w:tcPr>
      <w:tcBorders/>
    </w:tcPr>
    <w:tblStylePr w:type="band1Horz">
      <w:pPr>
        <w:pBdr/>
        <w:spacing/>
        <w:ind/>
      </w:pPr>
      <w:tblPr>
        <w:tblBorders/>
      </w:tblPr>
      <w:tcPr>
        <w:shd w:val="clear" w:color="4f81bd" w:themeColor="accent1" w:fill="4f81bd"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f81bd" w:themeColor="accent1" w:fill="4f81bd"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f81bd" w:themeColor="accent1" w:fill="4f81bd"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f81bd" w:themeColor="accent1" w:fill="4f81bd" w:themeFill="accent1"/>
        <w:tcBorders>
          <w:top w:val="single" w:color="4f81bd"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5" w:customStyle="1">
    <w:name w:val="List Table 5 Dark - Accent 2"/>
    <w:basedOn w:val="982"/>
    <w:uiPriority w:val="99"/>
    <w:pPr>
      <w:pBdr/>
      <w:spacing/>
      <w:ind/>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Pr>
    <w:tcPr>
      <w:tcBorders/>
    </w:tcPr>
    <w:tblStylePr w:type="band1Horz">
      <w:pPr>
        <w:pBdr/>
        <w:spacing/>
        <w:ind/>
      </w:pPr>
      <w:tblPr>
        <w:tblBorders/>
      </w:tblPr>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6" w:customStyle="1">
    <w:name w:val="List Table 5 Dark - Accent 3"/>
    <w:basedOn w:val="982"/>
    <w:uiPriority w:val="99"/>
    <w:pPr>
      <w:pBdr/>
      <w:spacing/>
      <w:ind/>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Pr>
    <w:tcPr>
      <w:tcBorders/>
    </w:tcPr>
    <w:tblStylePr w:type="band1Horz">
      <w:pPr>
        <w:pBdr/>
        <w:spacing/>
        <w:ind/>
      </w:pPr>
      <w:tblPr>
        <w:tblBorders/>
      </w:tblPr>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7" w:customStyle="1">
    <w:name w:val="List Table 5 Dark - Accent 4"/>
    <w:basedOn w:val="982"/>
    <w:uiPriority w:val="99"/>
    <w:pPr>
      <w:pBdr/>
      <w:spacing/>
      <w:ind/>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Pr>
    <w:tcPr>
      <w:tcBorders/>
    </w:tcPr>
    <w:tblStylePr w:type="band1Horz">
      <w:pPr>
        <w:pBdr/>
        <w:spacing/>
        <w:ind/>
      </w:pPr>
      <w:tblPr>
        <w:tblBorders/>
      </w:tblPr>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8" w:customStyle="1">
    <w:name w:val="List Table 5 Dark - Accent 5"/>
    <w:basedOn w:val="982"/>
    <w:uiPriority w:val="99"/>
    <w:pPr>
      <w:pBdr/>
      <w:spacing/>
      <w:ind/>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Pr>
    <w:tcPr>
      <w:tcBorders/>
    </w:tcPr>
    <w:tblStylePr w:type="band1Horz">
      <w:pPr>
        <w:pBdr/>
        <w:spacing/>
        <w:ind/>
      </w:pPr>
      <w:tblPr>
        <w:tblBorders/>
      </w:tblPr>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9" w:customStyle="1">
    <w:name w:val="List Table 5 Dark - Accent 6"/>
    <w:basedOn w:val="982"/>
    <w:uiPriority w:val="99"/>
    <w:pPr>
      <w:pBdr/>
      <w:spacing/>
      <w:ind/>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Pr>
    <w:tcPr>
      <w:tcBorders/>
    </w:tcPr>
    <w:tblStylePr w:type="band1Horz">
      <w:pPr>
        <w:pBdr/>
        <w:spacing/>
        <w:ind/>
      </w:pPr>
      <w:tblPr>
        <w:tblBorders/>
      </w:tblPr>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0">
    <w:name w:val="List Table 6 Colorful"/>
    <w:basedOn w:val="982"/>
    <w:uiPriority w:val="99"/>
    <w:pPr>
      <w:pBdr/>
      <w:spacing/>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1" w:customStyle="1">
    <w:name w:val="List Table 6 Colorful - Accent 1"/>
    <w:basedOn w:val="982"/>
    <w:uiPriority w:val="99"/>
    <w:pPr>
      <w:pBdr/>
      <w:spacing/>
      <w:ind/>
    </w:pPr>
    <w:tblPr>
      <w:tblStyleRowBandSize w:val="1"/>
      <w:tblStyleColBandSize w:val="1"/>
      <w:tblBorders>
        <w:top w:val="single" w:color="4f81bd" w:themeColor="accent1" w:sz="4" w:space="0"/>
        <w:bottom w:val="single" w:color="4f81bd" w:themeColor="accent1" w:sz="4" w:space="0"/>
      </w:tblBorders>
    </w:tblPr>
    <w:tcPr>
      <w:tcBorders/>
    </w:tcPr>
    <w:tblStylePr w:type="band1Horz">
      <w:rPr>
        <w:rFonts w:ascii="Arial" w:hAnsi="Arial"/>
        <w:color w:val="2a4a71" w:themeColor="accent1" w:themeShade="95"/>
        <w:sz w:val="22"/>
      </w:rPr>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a71" w:themeColor="accent1" w:themeShade="95"/>
      </w:rPr>
      <w:pPr>
        <w:pBdr/>
        <w:spacing/>
        <w:ind/>
      </w:pPr>
      <w:tblPr>
        <w:tblBorders/>
      </w:tblPr>
      <w:tcPr>
        <w:tcBorders/>
      </w:tcPr>
    </w:tblStylePr>
    <w:tblStylePr w:type="firstRow">
      <w:rPr>
        <w:b/>
        <w:color w:val="2a4a71" w:themeColor="accent1" w:themeShade="95"/>
      </w:rPr>
      <w:pPr>
        <w:pBdr/>
        <w:spacing/>
        <w:ind/>
      </w:pPr>
      <w:tblPr>
        <w:tblBorders/>
      </w:tblPr>
      <w:tcPr>
        <w:tcBorders>
          <w:bottom w:val="single" w:color="4f81bd" w:themeColor="accent1" w:sz="4" w:space="0"/>
        </w:tcBorders>
      </w:tcPr>
    </w:tblStylePr>
    <w:tblStylePr w:type="lastCol">
      <w:rPr>
        <w:b/>
        <w:color w:val="2a4a71" w:themeColor="accent1" w:themeShade="95"/>
      </w:rPr>
      <w:pPr>
        <w:pBdr/>
        <w:spacing/>
        <w:ind/>
      </w:pPr>
      <w:tblPr>
        <w:tblBorders/>
      </w:tblPr>
      <w:tcPr>
        <w:tcBorders/>
      </w:tcPr>
    </w:tblStylePr>
    <w:tblStylePr w:type="lastRow">
      <w:rPr>
        <w:b/>
        <w:color w:val="2a4a71" w:themeColor="accent1" w:themeShade="95"/>
      </w:rPr>
      <w:pPr>
        <w:pBdr/>
        <w:spacing/>
        <w:ind/>
      </w:pPr>
      <w:tblPr>
        <w:tblBorders/>
      </w:tblPr>
      <w:tcPr>
        <w:tcBorders>
          <w:top w:val="single" w:color="4f81bd"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2" w:customStyle="1">
    <w:name w:val="List Table 6 Colorful - Accent 2"/>
    <w:basedOn w:val="982"/>
    <w:uiPriority w:val="99"/>
    <w:pPr>
      <w:pBdr/>
      <w:spacing/>
      <w:ind/>
    </w:pPr>
    <w:tblPr>
      <w:tblStyleRowBandSize w:val="1"/>
      <w:tblStyleColBandSize w:val="1"/>
      <w:tblBorders>
        <w:top w:val="single" w:color="d99695" w:themeColor="accent2" w:themeTint="97" w:sz="4" w:space="0"/>
        <w:bottom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efd2d2" w:themeColor="accent2" w:themeTint="40" w:fill="efd2d2" w:themeFill="accent2" w:themeFillTint="40"/>
        <w:tcBorders/>
      </w:tcPr>
    </w:tblStylePr>
    <w:tblStylePr w:type="band1Vert">
      <w:pPr>
        <w:pBdr/>
        <w:spacing/>
        <w:ind/>
      </w:pPr>
      <w:tblPr>
        <w:tblBorders/>
      </w:tblPr>
      <w:tcPr>
        <w:shd w:val="clear" w:color="efd2d2" w:themeColor="accent2" w:themeTint="40" w:fill="efd2d2" w:themeFill="accent2" w:themeFillTint="40"/>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4"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3" w:customStyle="1">
    <w:name w:val="List Table 6 Colorful - Accent 3"/>
    <w:basedOn w:val="982"/>
    <w:uiPriority w:val="99"/>
    <w:pPr>
      <w:pBdr/>
      <w:spacing/>
      <w:ind/>
    </w:pPr>
    <w:tblPr>
      <w:tblStyleRowBandSize w:val="1"/>
      <w:tblStyleColBandSize w:val="1"/>
      <w:tblBorders>
        <w:top w:val="single" w:color="c3d69b" w:themeColor="accent3" w:themeTint="98" w:sz="4" w:space="0"/>
        <w:bottom w:val="single" w:color="c3d69b" w:themeColor="accent3" w:themeTint="98" w:sz="4" w:space="0"/>
      </w:tblBorders>
    </w:tblPr>
    <w:tcPr>
      <w:tcBorders/>
    </w:tcPr>
    <w:tblStylePr w:type="band1Horz">
      <w:rPr>
        <w:rFonts w:ascii="Arial" w:hAnsi="Arial"/>
        <w:color w:val="c3d69b" w:themeColor="accent3" w:themeTint="98" w:themeShade="95"/>
        <w:sz w:val="22"/>
      </w:rPr>
      <w:pPr>
        <w:pBdr/>
        <w:spacing/>
        <w:ind/>
      </w:pPr>
      <w:tblPr>
        <w:tblBorders/>
      </w:tblPr>
      <w:tcPr>
        <w:shd w:val="clear" w:color="e5eed5" w:themeColor="accent3" w:themeTint="40" w:fill="e5eed5" w:themeFill="accent3" w:themeFillTint="40"/>
        <w:tcBorders/>
      </w:tcPr>
    </w:tblStylePr>
    <w:tblStylePr w:type="band1Vert">
      <w:pPr>
        <w:pBdr/>
        <w:spacing/>
        <w:ind/>
      </w:pPr>
      <w:tblPr>
        <w:tblBorders/>
      </w:tblPr>
      <w:tcPr>
        <w:shd w:val="clear" w:color="e5eed5" w:themeColor="accent3" w:themeTint="40" w:fill="e5eed5" w:themeFill="accent3" w:themeFillTint="40"/>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3d69b" w:themeColor="accent3" w:themeTint="98" w:themeShade="95"/>
      </w:rPr>
      <w:pPr>
        <w:pBdr/>
        <w:spacing/>
        <w:ind/>
      </w:pPr>
      <w:tblPr>
        <w:tblBorders/>
      </w:tblPr>
      <w:tcPr>
        <w:tcBorders/>
      </w:tcPr>
    </w:tblStylePr>
    <w:tblStylePr w:type="firstRow">
      <w:rPr>
        <w:b/>
        <w:color w:val="c3d69b" w:themeColor="accent3" w:themeTint="98" w:themeShade="95"/>
      </w:rPr>
      <w:pPr>
        <w:pBdr/>
        <w:spacing/>
        <w:ind/>
      </w:pPr>
      <w:tblPr>
        <w:tblBorders/>
      </w:tblPr>
      <w:tcPr>
        <w:tcBorders>
          <w:bottom w:val="single" w:color="c3d69b" w:themeColor="accent3" w:themeTint="98" w:sz="4" w:space="0"/>
        </w:tcBorders>
      </w:tcPr>
    </w:tblStylePr>
    <w:tblStylePr w:type="lastCol">
      <w:rPr>
        <w:b/>
        <w:color w:val="c3d69b" w:themeColor="accent3" w:themeTint="98" w:themeShade="95"/>
      </w:rPr>
      <w:pPr>
        <w:pBdr/>
        <w:spacing/>
        <w:ind/>
      </w:pPr>
      <w:tblPr>
        <w:tblBorders/>
      </w:tblPr>
      <w:tcPr>
        <w:tcBorders/>
      </w:tcPr>
    </w:tblStylePr>
    <w:tblStylePr w:type="lastRow">
      <w:rPr>
        <w:b/>
        <w:color w:val="c3d69b" w:themeColor="accent3" w:themeTint="98" w:themeShade="95"/>
      </w:rPr>
      <w:pPr>
        <w:pBdr/>
        <w:spacing/>
        <w:ind/>
      </w:pPr>
      <w:tblPr>
        <w:tblBorders/>
      </w:tblPr>
      <w:tcPr>
        <w:tcBorders>
          <w:top w:val="single" w:color="c3d69b"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4" w:customStyle="1">
    <w:name w:val="List Table 6 Colorful - Accent 4"/>
    <w:basedOn w:val="982"/>
    <w:uiPriority w:val="99"/>
    <w:pPr>
      <w:pBdr/>
      <w:spacing/>
      <w:ind/>
    </w:pPr>
    <w:tblPr>
      <w:tblStyleRowBandSize w:val="1"/>
      <w:tblStyleColBandSize w:val="1"/>
      <w:tblBorders>
        <w:top w:val="single" w:color="b2a1c6" w:themeColor="accent4" w:themeTint="9A" w:sz="4" w:space="0"/>
        <w:bottom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4"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5" w:customStyle="1">
    <w:name w:val="List Table 6 Colorful - Accent 5"/>
    <w:basedOn w:val="982"/>
    <w:uiPriority w:val="99"/>
    <w:pPr>
      <w:pBdr/>
      <w:spacing/>
      <w:ind/>
    </w:pPr>
    <w:tblPr>
      <w:tblStyleRowBandSize w:val="1"/>
      <w:tblStyleColBandSize w:val="1"/>
      <w:tblBorders>
        <w:top w:val="single" w:color="92ccdc" w:themeColor="accent5" w:themeTint="9A" w:sz="4" w:space="0"/>
        <w:bottom w:val="single" w:color="92ccdc" w:themeColor="accent5" w:themeTint="9A" w:sz="4" w:space="0"/>
      </w:tblBorders>
    </w:tblPr>
    <w:tcPr>
      <w:tcBorders/>
    </w:tcPr>
    <w:tblStylePr w:type="band1Horz">
      <w:rPr>
        <w:rFonts w:ascii="Arial" w:hAnsi="Arial"/>
        <w:color w:val="92ccdc" w:themeColor="accent5" w:themeTint="9A" w:themeShade="95"/>
        <w:sz w:val="22"/>
      </w:rPr>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2ccdc" w:themeColor="accent5" w:themeTint="9A" w:themeShade="95"/>
      </w:rPr>
      <w:pPr>
        <w:pBdr/>
        <w:spacing/>
        <w:ind/>
      </w:pPr>
      <w:tblPr>
        <w:tblBorders/>
      </w:tblPr>
      <w:tcPr>
        <w:tcBorders/>
      </w:tcPr>
    </w:tblStylePr>
    <w:tblStylePr w:type="firstRow">
      <w:rPr>
        <w:b/>
        <w:color w:val="92ccdc" w:themeColor="accent5" w:themeTint="9A" w:themeShade="95"/>
      </w:rPr>
      <w:pPr>
        <w:pBdr/>
        <w:spacing/>
        <w:ind/>
      </w:pPr>
      <w:tblPr>
        <w:tblBorders/>
      </w:tblPr>
      <w:tcPr>
        <w:tcBorders>
          <w:bottom w:val="single" w:color="92ccdc" w:themeColor="accent5" w:themeTint="9A" w:sz="4" w:space="0"/>
        </w:tcBorders>
      </w:tcPr>
    </w:tblStylePr>
    <w:tblStylePr w:type="lastCol">
      <w:rPr>
        <w:b/>
        <w:color w:val="92ccdc" w:themeColor="accent5" w:themeTint="9A" w:themeShade="95"/>
      </w:rPr>
      <w:pPr>
        <w:pBdr/>
        <w:spacing/>
        <w:ind/>
      </w:pPr>
      <w:tblPr>
        <w:tblBorders/>
      </w:tblPr>
      <w:tcPr>
        <w:tcBorders/>
      </w:tcPr>
    </w:tblStylePr>
    <w:tblStylePr w:type="lastRow">
      <w:rPr>
        <w:b/>
        <w:color w:val="92ccdc" w:themeColor="accent5" w:themeTint="9A" w:themeShade="95"/>
      </w:rPr>
      <w:pPr>
        <w:pBdr/>
        <w:spacing/>
        <w:ind/>
      </w:pPr>
      <w:tblPr>
        <w:tblBorders/>
      </w:tblPr>
      <w:tcPr>
        <w:tcBorders>
          <w:top w:val="single" w:color="92ccdc"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6" w:customStyle="1">
    <w:name w:val="List Table 6 Colorful - Accent 6"/>
    <w:basedOn w:val="982"/>
    <w:uiPriority w:val="99"/>
    <w:pPr>
      <w:pBdr/>
      <w:spacing/>
      <w:ind/>
    </w:pPr>
    <w:tblPr>
      <w:tblStyleRowBandSize w:val="1"/>
      <w:tblStyleColBandSize w:val="1"/>
      <w:tblBorders>
        <w:top w:val="single" w:color="fac090" w:themeColor="accent6" w:themeTint="98" w:sz="4" w:space="0"/>
        <w:bottom w:val="single" w:color="fac090" w:themeColor="accent6" w:themeTint="98" w:sz="4" w:space="0"/>
      </w:tblBorders>
    </w:tblPr>
    <w:tcPr>
      <w:tcBorders/>
    </w:tcPr>
    <w:tblStylePr w:type="band1Horz">
      <w:rPr>
        <w:rFonts w:ascii="Arial" w:hAnsi="Arial"/>
        <w:color w:val="fac090" w:themeColor="accent6" w:themeTint="98" w:themeShade="95"/>
        <w:sz w:val="22"/>
      </w:rPr>
      <w:pPr>
        <w:pBdr/>
        <w:spacing/>
        <w:ind/>
      </w:pPr>
      <w:tblPr>
        <w:tblBorders/>
      </w:tblPr>
      <w:tcPr>
        <w:shd w:val="clear" w:color="fde4d0" w:themeColor="accent6" w:themeTint="40" w:fill="fde4d0" w:themeFill="accent6" w:themeFillTint="40"/>
        <w:tcBorders/>
      </w:tcPr>
    </w:tblStylePr>
    <w:tblStylePr w:type="band1Vert">
      <w:pPr>
        <w:pBdr/>
        <w:spacing/>
        <w:ind/>
      </w:pPr>
      <w:tblPr>
        <w:tblBorders/>
      </w:tblPr>
      <w:tcPr>
        <w:shd w:val="clear" w:color="fde4d0" w:themeColor="accent6" w:themeTint="40" w:fill="fd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ac090" w:themeColor="accent6" w:themeTint="98" w:themeShade="95"/>
      </w:rPr>
      <w:pPr>
        <w:pBdr/>
        <w:spacing/>
        <w:ind/>
      </w:pPr>
      <w:tblPr>
        <w:tblBorders/>
      </w:tblPr>
      <w:tcPr>
        <w:tcBorders/>
      </w:tcPr>
    </w:tblStylePr>
    <w:tblStylePr w:type="firstRow">
      <w:rPr>
        <w:b/>
        <w:color w:val="fac090" w:themeColor="accent6" w:themeTint="98" w:themeShade="95"/>
      </w:rPr>
      <w:pPr>
        <w:pBdr/>
        <w:spacing/>
        <w:ind/>
      </w:pPr>
      <w:tblPr>
        <w:tblBorders/>
      </w:tblPr>
      <w:tcPr>
        <w:tcBorders>
          <w:bottom w:val="single" w:color="fac090" w:themeColor="accent6" w:themeTint="98" w:sz="4" w:space="0"/>
        </w:tcBorders>
      </w:tcPr>
    </w:tblStylePr>
    <w:tblStylePr w:type="lastCol">
      <w:rPr>
        <w:b/>
        <w:color w:val="fac090" w:themeColor="accent6" w:themeTint="98" w:themeShade="95"/>
      </w:rPr>
      <w:pPr>
        <w:pBdr/>
        <w:spacing/>
        <w:ind/>
      </w:pPr>
      <w:tblPr>
        <w:tblBorders/>
      </w:tblPr>
      <w:tcPr>
        <w:tcBorders/>
      </w:tcPr>
    </w:tblStylePr>
    <w:tblStylePr w:type="lastRow">
      <w:rPr>
        <w:b/>
        <w:color w:val="fac090" w:themeColor="accent6" w:themeTint="98" w:themeShade="95"/>
      </w:rPr>
      <w:pPr>
        <w:pBdr/>
        <w:spacing/>
        <w:ind/>
      </w:pPr>
      <w:tblPr>
        <w:tblBorders/>
      </w:tblPr>
      <w:tcPr>
        <w:tcBorders>
          <w:top w:val="single" w:color="fac09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7">
    <w:name w:val="List Table 7 Colorful"/>
    <w:basedOn w:val="982"/>
    <w:uiPriority w:val="99"/>
    <w:pPr>
      <w:pBdr/>
      <w:spacing/>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8" w:customStyle="1">
    <w:name w:val="List Table 7 Colorful - Accent 1"/>
    <w:basedOn w:val="982"/>
    <w:uiPriority w:val="99"/>
    <w:pPr>
      <w:pBdr/>
      <w:spacing/>
      <w:ind/>
    </w:pPr>
    <w:tblPr>
      <w:tblStyleRowBandSize w:val="1"/>
      <w:tblStyleColBandSize w:val="1"/>
      <w:tblBorders>
        <w:right w:val="single" w:color="4f81bd" w:themeColor="accent1" w:sz="4" w:space="0"/>
      </w:tblBorders>
    </w:tblPr>
    <w:tcPr>
      <w:tcBorders/>
    </w:tcPr>
    <w:tblStylePr w:type="band1Horz">
      <w:rPr>
        <w:rFonts w:ascii="Arial" w:hAnsi="Arial"/>
        <w:color w:val="2a4a71" w:themeColor="accent1" w:themeShade="95"/>
        <w:sz w:val="22"/>
      </w:rPr>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a71" w:themeColor="accent1"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pPr>
        <w:pBdr/>
        <w:spacing/>
        <w:ind/>
      </w:pPr>
      <w:tblPr>
        <w:tblBorders/>
      </w:tbl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pPr>
        <w:pBdr/>
        <w:spacing/>
        <w:ind/>
      </w:pPr>
      <w:tblPr>
        <w:tblBorders/>
      </w:tbl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9" w:customStyle="1">
    <w:name w:val="List Table 7 Colorful - Accent 2"/>
    <w:basedOn w:val="982"/>
    <w:uiPriority w:val="99"/>
    <w:pPr>
      <w:pBdr/>
      <w:spacing/>
      <w:ind/>
    </w:pPr>
    <w:tblPr>
      <w:tblStyleRowBandSize w:val="1"/>
      <w:tblStyleColBandSize w:val="1"/>
      <w:tblBorders>
        <w:right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efd2d2" w:themeColor="accent2" w:themeTint="40" w:fill="efd2d2" w:themeFill="accent2" w:themeFillTint="40"/>
        <w:tcBorders/>
      </w:tcPr>
    </w:tblStylePr>
    <w:tblStylePr w:type="band1Vert">
      <w:pPr>
        <w:pBdr/>
        <w:spacing/>
        <w:ind/>
      </w:pPr>
      <w:tblPr>
        <w:tblBorders/>
      </w:tblPr>
      <w:tcPr>
        <w:shd w:val="clear" w:color="efd2d2" w:themeColor="accent2" w:themeTint="40" w:fill="efd2d2" w:themeFill="accent2" w:themeFillTint="40"/>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pPr>
        <w:pBdr/>
        <w:spacing/>
        <w:ind/>
      </w:pPr>
      <w:tblPr>
        <w:tblBorders/>
      </w:tbl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pPr>
        <w:pBdr/>
        <w:spacing/>
        <w:ind/>
      </w:pPr>
      <w:tblPr>
        <w:tblBorders/>
      </w:tbl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0" w:customStyle="1">
    <w:name w:val="List Table 7 Colorful - Accent 3"/>
    <w:basedOn w:val="982"/>
    <w:uiPriority w:val="99"/>
    <w:pPr>
      <w:pBdr/>
      <w:spacing/>
      <w:ind/>
    </w:pPr>
    <w:tblPr>
      <w:tblStyleRowBandSize w:val="1"/>
      <w:tblStyleColBandSize w:val="1"/>
      <w:tblBorders>
        <w:right w:val="single" w:color="c3d69b" w:themeColor="accent3" w:themeTint="98" w:sz="4" w:space="0"/>
      </w:tblBorders>
    </w:tblPr>
    <w:tcPr>
      <w:tcBorders/>
    </w:tcPr>
    <w:tblStylePr w:type="band1Horz">
      <w:rPr>
        <w:rFonts w:ascii="Arial" w:hAnsi="Arial"/>
        <w:color w:val="c3d69b" w:themeColor="accent3" w:themeTint="98" w:themeShade="95"/>
        <w:sz w:val="22"/>
      </w:rPr>
      <w:pPr>
        <w:pBdr/>
        <w:spacing/>
        <w:ind/>
      </w:pPr>
      <w:tblPr>
        <w:tblBorders/>
      </w:tblPr>
      <w:tcPr>
        <w:shd w:val="clear" w:color="e5eed5" w:themeColor="accent3" w:themeTint="40" w:fill="e5eed5" w:themeFill="accent3" w:themeFillTint="40"/>
        <w:tcBorders/>
      </w:tcPr>
    </w:tblStylePr>
    <w:tblStylePr w:type="band1Vert">
      <w:pPr>
        <w:pBdr/>
        <w:spacing/>
        <w:ind/>
      </w:pPr>
      <w:tblPr>
        <w:tblBorders/>
      </w:tblPr>
      <w:tcPr>
        <w:shd w:val="clear" w:color="e5eed5" w:themeColor="accent3" w:themeTint="40" w:fill="e5eed5" w:themeFill="accent3" w:themeFillTint="40"/>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3d69b" w:themeColor="accent3"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pPr>
        <w:pBdr/>
        <w:spacing/>
        <w:ind/>
      </w:pPr>
      <w:tblPr>
        <w:tblBorders/>
      </w:tbl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pPr>
        <w:pBdr/>
        <w:spacing/>
        <w:ind/>
      </w:pPr>
      <w:tblPr>
        <w:tblBorders/>
      </w:tbl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1" w:customStyle="1">
    <w:name w:val="List Table 7 Colorful - Accent 4"/>
    <w:basedOn w:val="982"/>
    <w:uiPriority w:val="99"/>
    <w:pPr>
      <w:pBdr/>
      <w:spacing/>
      <w:ind/>
    </w:pPr>
    <w:tblPr>
      <w:tblStyleRowBandSize w:val="1"/>
      <w:tblStyleColBandSize w:val="1"/>
      <w:tblBorders>
        <w:right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pPr>
        <w:pBdr/>
        <w:spacing/>
        <w:ind/>
      </w:pPr>
      <w:tblPr>
        <w:tblBorders/>
      </w:tbl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2" w:customStyle="1">
    <w:name w:val="List Table 7 Colorful - Accent 5"/>
    <w:basedOn w:val="982"/>
    <w:uiPriority w:val="99"/>
    <w:pPr>
      <w:pBdr/>
      <w:spacing/>
      <w:ind/>
    </w:pPr>
    <w:tblPr>
      <w:tblStyleRowBandSize w:val="1"/>
      <w:tblStyleColBandSize w:val="1"/>
      <w:tblBorders>
        <w:right w:val="single" w:color="92ccdc" w:themeColor="accent5" w:themeTint="9A" w:sz="4" w:space="0"/>
      </w:tblBorders>
    </w:tblPr>
    <w:tcPr>
      <w:tcBorders/>
    </w:tcPr>
    <w:tblStylePr w:type="band1Horz">
      <w:rPr>
        <w:rFonts w:ascii="Arial" w:hAnsi="Arial"/>
        <w:color w:val="92ccdc" w:themeColor="accent5" w:themeTint="9A" w:themeShade="95"/>
        <w:sz w:val="22"/>
      </w:rPr>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2ccdc" w:themeColor="accent5"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pPr>
        <w:pBdr/>
        <w:spacing/>
        <w:ind/>
      </w:pPr>
      <w:tblPr>
        <w:tblBorders/>
      </w:tbl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pPr>
        <w:pBdr/>
        <w:spacing/>
        <w:ind/>
      </w:pPr>
      <w:tblPr>
        <w:tblBorders/>
      </w:tbl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3" w:customStyle="1">
    <w:name w:val="List Table 7 Colorful - Accent 6"/>
    <w:basedOn w:val="982"/>
    <w:uiPriority w:val="99"/>
    <w:pPr>
      <w:pBdr/>
      <w:spacing/>
      <w:ind/>
    </w:pPr>
    <w:tblPr>
      <w:tblStyleRowBandSize w:val="1"/>
      <w:tblStyleColBandSize w:val="1"/>
      <w:tblBorders>
        <w:right w:val="single" w:color="fac090" w:themeColor="accent6" w:themeTint="98" w:sz="4" w:space="0"/>
      </w:tblBorders>
    </w:tblPr>
    <w:tcPr>
      <w:tcBorders/>
    </w:tcPr>
    <w:tblStylePr w:type="band1Horz">
      <w:rPr>
        <w:rFonts w:ascii="Arial" w:hAnsi="Arial"/>
        <w:color w:val="fac090" w:themeColor="accent6" w:themeTint="98" w:themeShade="95"/>
        <w:sz w:val="22"/>
      </w:rPr>
      <w:pPr>
        <w:pBdr/>
        <w:spacing/>
        <w:ind/>
      </w:pPr>
      <w:tblPr>
        <w:tblBorders/>
      </w:tblPr>
      <w:tcPr>
        <w:shd w:val="clear" w:color="fde4d0" w:themeColor="accent6" w:themeTint="40" w:fill="fde4d0" w:themeFill="accent6" w:themeFillTint="40"/>
        <w:tcBorders/>
      </w:tcPr>
    </w:tblStylePr>
    <w:tblStylePr w:type="band1Vert">
      <w:pPr>
        <w:pBdr/>
        <w:spacing/>
        <w:ind/>
      </w:pPr>
      <w:tblPr>
        <w:tblBorders/>
      </w:tblPr>
      <w:tcPr>
        <w:shd w:val="clear" w:color="fde4d0" w:themeColor="accent6" w:themeTint="40" w:fill="fd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ac090" w:themeColor="accent6"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pPr>
        <w:pBdr/>
        <w:spacing/>
        <w:ind/>
      </w:pPr>
      <w:tblPr>
        <w:tblBorders/>
      </w:tbl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pPr>
        <w:pBdr/>
        <w:spacing/>
        <w:ind/>
      </w:pPr>
      <w:tblPr>
        <w:tblBorders/>
      </w:tbl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4" w:customStyle="1">
    <w:name w:val="Lined - Accent"/>
    <w:basedOn w:val="982"/>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5" w:customStyle="1">
    <w:name w:val="Lined - Accent 1"/>
    <w:basedOn w:val="982"/>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fir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6" w:customStyle="1">
    <w:name w:val="Lined - Accent 2"/>
    <w:basedOn w:val="982"/>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fir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fir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7" w:customStyle="1">
    <w:name w:val="Lined - Accent 3"/>
    <w:basedOn w:val="982"/>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fir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fir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8" w:customStyle="1">
    <w:name w:val="Lined - Accent 4"/>
    <w:basedOn w:val="982"/>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9" w:customStyle="1">
    <w:name w:val="Lined - Accent 5"/>
    <w:basedOn w:val="982"/>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4bacc6" w:themeColor="accent5" w:fill="4bacc6" w:themeFill="accent5"/>
        <w:tcBorders/>
      </w:tcPr>
    </w:tblStylePr>
    <w:tblStylePr w:type="firstRow">
      <w:rPr>
        <w:rFonts w:ascii="Arial" w:hAnsi="Arial"/>
        <w:color w:val="f2f2f2"/>
        <w:sz w:val="22"/>
      </w:rPr>
      <w:pPr>
        <w:pBdr/>
        <w:spacing/>
        <w:ind/>
      </w:pPr>
      <w:tblPr>
        <w:tblBorders/>
      </w:tblPr>
      <w:tcPr>
        <w:shd w:val="clear" w:color="4bacc6" w:themeColor="accent5" w:fill="4bacc6" w:themeFill="accent5"/>
        <w:tcBorders/>
      </w:tcPr>
    </w:tblStylePr>
    <w:tblStylePr w:type="lastCol">
      <w:rPr>
        <w:rFonts w:ascii="Arial" w:hAnsi="Arial"/>
        <w:color w:val="f2f2f2"/>
        <w:sz w:val="22"/>
      </w:rPr>
      <w:pPr>
        <w:pBdr/>
        <w:spacing/>
        <w:ind/>
      </w:pPr>
      <w:tblPr>
        <w:tblBorders/>
      </w:tblPr>
      <w:tcPr>
        <w:shd w:val="clear" w:color="4bacc6" w:themeColor="accent5" w:fill="4bacc6" w:themeFill="accent5"/>
        <w:tcBorders/>
      </w:tcPr>
    </w:tblStylePr>
    <w:tblStylePr w:type="lastRow">
      <w:rPr>
        <w:rFonts w:ascii="Arial" w:hAnsi="Arial"/>
        <w:color w:val="f2f2f2"/>
        <w:sz w:val="22"/>
      </w:rPr>
      <w:pPr>
        <w:pBdr/>
        <w:spacing/>
        <w:ind/>
      </w:pPr>
      <w:tblPr>
        <w:tblBorders/>
      </w:tblPr>
      <w:tcPr>
        <w:shd w:val="clear" w:color="4bacc6"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0" w:customStyle="1">
    <w:name w:val="Lined - Accent 6"/>
    <w:basedOn w:val="982"/>
    <w:uiPriority w:val="99"/>
    <w:pPr>
      <w:pBdr/>
      <w:spacing/>
      <w:ind/>
    </w:pPr>
    <w:rPr>
      <w:color w:val="404040"/>
      <w:sz w:val="20"/>
      <w:szCs w:val="2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79646" w:themeColor="accent6" w:fill="f79646" w:themeFill="accent6"/>
        <w:tcBorders/>
      </w:tcPr>
    </w:tblStylePr>
    <w:tblStylePr w:type="firstRow">
      <w:rPr>
        <w:rFonts w:ascii="Arial" w:hAnsi="Arial"/>
        <w:color w:val="f2f2f2"/>
        <w:sz w:val="22"/>
      </w:rPr>
      <w:pPr>
        <w:pBdr/>
        <w:spacing/>
        <w:ind/>
      </w:pPr>
      <w:tblPr>
        <w:tblBorders/>
      </w:tblPr>
      <w:tcPr>
        <w:shd w:val="clear" w:color="f79646" w:themeColor="accent6" w:fill="f79646" w:themeFill="accent6"/>
        <w:tcBorders/>
      </w:tcPr>
    </w:tblStylePr>
    <w:tblStylePr w:type="lastCol">
      <w:rPr>
        <w:rFonts w:ascii="Arial" w:hAnsi="Arial"/>
        <w:color w:val="f2f2f2"/>
        <w:sz w:val="22"/>
      </w:rPr>
      <w:pPr>
        <w:pBdr/>
        <w:spacing/>
        <w:ind/>
      </w:pPr>
      <w:tblPr>
        <w:tblBorders/>
      </w:tblPr>
      <w:tcPr>
        <w:shd w:val="clear" w:color="f79646" w:themeColor="accent6" w:fill="f79646" w:themeFill="accent6"/>
        <w:tcBorders/>
      </w:tcPr>
    </w:tblStylePr>
    <w:tblStylePr w:type="lastRow">
      <w:rPr>
        <w:rFonts w:ascii="Arial" w:hAnsi="Arial"/>
        <w:color w:val="f2f2f2"/>
        <w:sz w:val="22"/>
      </w:rPr>
      <w:pPr>
        <w:pBdr/>
        <w:spacing/>
        <w:ind/>
      </w:pPr>
      <w:tblPr>
        <w:tblBorders/>
      </w:tblPr>
      <w:tcPr>
        <w:shd w:val="clear" w:color="f79646"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1" w:customStyle="1">
    <w:name w:val="Bordered &amp; Lined - Accent"/>
    <w:basedOn w:val="982"/>
    <w:uiPriority w:val="99"/>
    <w:pPr>
      <w:pBdr/>
      <w:spacing/>
      <w:ind/>
    </w:pPr>
    <w:rPr>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2" w:customStyle="1">
    <w:name w:val="Bordered &amp; Lined - Accent 1"/>
    <w:basedOn w:val="982"/>
    <w:uiPriority w:val="99"/>
    <w:pPr>
      <w:pBdr/>
      <w:spacing/>
      <w:ind/>
    </w:pPr>
    <w:rPr>
      <w:color w:val="404040"/>
      <w:sz w:val="20"/>
      <w:szCs w:val="20"/>
    </w:rPr>
    <w:tblPr>
      <w:tblStyleRowBandSize w:val="1"/>
      <w:tblStyleColBandSize w:val="1"/>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fir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3" w:customStyle="1">
    <w:name w:val="Bordered &amp; Lined - Accent 2"/>
    <w:basedOn w:val="982"/>
    <w:uiPriority w:val="99"/>
    <w:pPr>
      <w:pBdr/>
      <w:spacing/>
      <w:ind/>
    </w:pPr>
    <w:rPr>
      <w:color w:val="404040"/>
      <w:sz w:val="20"/>
      <w:szCs w:val="20"/>
    </w:rPr>
    <w:tblPr>
      <w:tblStyleRowBandSize w:val="1"/>
      <w:tblStyleColBandSize w:val="1"/>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fir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fir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4" w:customStyle="1">
    <w:name w:val="Bordered &amp; Lined - Accent 3"/>
    <w:basedOn w:val="982"/>
    <w:uiPriority w:val="99"/>
    <w:pPr>
      <w:pBdr/>
      <w:spacing/>
      <w:ind/>
    </w:pPr>
    <w:rPr>
      <w:color w:val="404040"/>
      <w:sz w:val="20"/>
      <w:szCs w:val="20"/>
    </w:rPr>
    <w:tblPr>
      <w:tblStyleRowBandSize w:val="1"/>
      <w:tblStyleColBandSize w:val="1"/>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fir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fir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5" w:customStyle="1">
    <w:name w:val="Bordered &amp; Lined - Accent 4"/>
    <w:basedOn w:val="982"/>
    <w:uiPriority w:val="99"/>
    <w:pPr>
      <w:pBdr/>
      <w:spacing/>
      <w:ind/>
    </w:pPr>
    <w:rPr>
      <w:color w:val="404040"/>
      <w:sz w:val="20"/>
      <w:szCs w:val="20"/>
    </w:rPr>
    <w:tblPr>
      <w:tblStyleRowBandSize w:val="1"/>
      <w:tblStyleColBandSize w:val="1"/>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6" w:customStyle="1">
    <w:name w:val="Bordered &amp; Lined - Accent 5"/>
    <w:basedOn w:val="982"/>
    <w:uiPriority w:val="99"/>
    <w:pPr>
      <w:pBdr/>
      <w:spacing/>
      <w:ind/>
    </w:pPr>
    <w:rPr>
      <w:color w:val="404040"/>
      <w:sz w:val="20"/>
      <w:szCs w:val="20"/>
    </w:rPr>
    <w:tblPr>
      <w:tblStyleRowBandSize w:val="1"/>
      <w:tblStyleColBandSize w:val="1"/>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4bacc6" w:themeColor="accent5" w:fill="4bacc6" w:themeFill="accent5"/>
        <w:tcBorders/>
      </w:tcPr>
    </w:tblStylePr>
    <w:tblStylePr w:type="firstRow">
      <w:rPr>
        <w:rFonts w:ascii="Arial" w:hAnsi="Arial"/>
        <w:color w:val="f2f2f2"/>
        <w:sz w:val="22"/>
      </w:rPr>
      <w:pPr>
        <w:pBdr/>
        <w:spacing/>
        <w:ind/>
      </w:pPr>
      <w:tblPr>
        <w:tblBorders/>
      </w:tblPr>
      <w:tcPr>
        <w:shd w:val="clear" w:color="4bacc6" w:themeColor="accent5" w:fill="4bacc6" w:themeFill="accent5"/>
        <w:tcBorders/>
      </w:tcPr>
    </w:tblStylePr>
    <w:tblStylePr w:type="lastCol">
      <w:rPr>
        <w:rFonts w:ascii="Arial" w:hAnsi="Arial"/>
        <w:color w:val="f2f2f2"/>
        <w:sz w:val="22"/>
      </w:rPr>
      <w:pPr>
        <w:pBdr/>
        <w:spacing/>
        <w:ind/>
      </w:pPr>
      <w:tblPr>
        <w:tblBorders/>
      </w:tblPr>
      <w:tcPr>
        <w:shd w:val="clear" w:color="4bacc6" w:themeColor="accent5" w:fill="4bacc6" w:themeFill="accent5"/>
        <w:tcBorders/>
      </w:tcPr>
    </w:tblStylePr>
    <w:tblStylePr w:type="lastRow">
      <w:rPr>
        <w:rFonts w:ascii="Arial" w:hAnsi="Arial"/>
        <w:color w:val="f2f2f2"/>
        <w:sz w:val="22"/>
      </w:rPr>
      <w:pPr>
        <w:pBdr/>
        <w:spacing/>
        <w:ind/>
      </w:pPr>
      <w:tblPr>
        <w:tblBorders/>
      </w:tblPr>
      <w:tcPr>
        <w:shd w:val="clear" w:color="4bacc6"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7" w:customStyle="1">
    <w:name w:val="Bordered &amp; Lined - Accent 6"/>
    <w:basedOn w:val="982"/>
    <w:uiPriority w:val="99"/>
    <w:pPr>
      <w:pBdr/>
      <w:spacing/>
      <w:ind/>
    </w:pPr>
    <w:rPr>
      <w:color w:val="404040"/>
      <w:sz w:val="20"/>
      <w:szCs w:val="20"/>
    </w:rPr>
    <w:tblPr>
      <w:tblStyleRowBandSize w:val="1"/>
      <w:tblStyleColBandSize w:val="1"/>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79646" w:themeColor="accent6" w:fill="f79646" w:themeFill="accent6"/>
        <w:tcBorders/>
      </w:tcPr>
    </w:tblStylePr>
    <w:tblStylePr w:type="firstRow">
      <w:rPr>
        <w:rFonts w:ascii="Arial" w:hAnsi="Arial"/>
        <w:color w:val="f2f2f2"/>
        <w:sz w:val="22"/>
      </w:rPr>
      <w:pPr>
        <w:pBdr/>
        <w:spacing/>
        <w:ind/>
      </w:pPr>
      <w:tblPr>
        <w:tblBorders/>
      </w:tblPr>
      <w:tcPr>
        <w:shd w:val="clear" w:color="f79646" w:themeColor="accent6" w:fill="f79646" w:themeFill="accent6"/>
        <w:tcBorders/>
      </w:tcPr>
    </w:tblStylePr>
    <w:tblStylePr w:type="lastCol">
      <w:rPr>
        <w:rFonts w:ascii="Arial" w:hAnsi="Arial"/>
        <w:color w:val="f2f2f2"/>
        <w:sz w:val="22"/>
      </w:rPr>
      <w:pPr>
        <w:pBdr/>
        <w:spacing/>
        <w:ind/>
      </w:pPr>
      <w:tblPr>
        <w:tblBorders/>
      </w:tblPr>
      <w:tcPr>
        <w:shd w:val="clear" w:color="f79646" w:themeColor="accent6" w:fill="f79646" w:themeFill="accent6"/>
        <w:tcBorders/>
      </w:tcPr>
    </w:tblStylePr>
    <w:tblStylePr w:type="lastRow">
      <w:rPr>
        <w:rFonts w:ascii="Arial" w:hAnsi="Arial"/>
        <w:color w:val="f2f2f2"/>
        <w:sz w:val="22"/>
      </w:rPr>
      <w:pPr>
        <w:pBdr/>
        <w:spacing/>
        <w:ind/>
      </w:pPr>
      <w:tblPr>
        <w:tblBorders/>
      </w:tblPr>
      <w:tcPr>
        <w:shd w:val="clear" w:color="f79646"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8" w:customStyle="1">
    <w:name w:val="Bordered"/>
    <w:basedOn w:val="982"/>
    <w:uiPriority w:val="99"/>
    <w:pPr>
      <w:pBdr/>
      <w:spacing/>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9" w:customStyle="1">
    <w:name w:val="Bordered - Accent 1"/>
    <w:basedOn w:val="982"/>
    <w:uiPriority w:val="99"/>
    <w:pPr>
      <w:pBdr/>
      <w:spacing/>
      <w:ind/>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f81bd" w:themeColor="accent1" w:sz="12" w:space="0"/>
        </w:tcBorders>
      </w:tcPr>
    </w:tblStylePr>
    <w:tblStylePr w:type="lastCol">
      <w:rPr>
        <w:rFonts w:ascii="Arial" w:hAnsi="Arial"/>
        <w:color w:val="404040"/>
        <w:sz w:val="22"/>
      </w:rPr>
      <w:pPr>
        <w:pBdr/>
        <w:spacing/>
        <w:ind/>
      </w:pPr>
      <w:tblPr>
        <w:tblBorders/>
      </w:tblPr>
      <w:tcPr>
        <w:tcBorders>
          <w:left w:val="single" w:color="4f81bd" w:themeColor="accent1" w:sz="12" w:space="0"/>
        </w:tcBorders>
      </w:tcPr>
    </w:tblStylePr>
    <w:tblStylePr w:type="lastRow">
      <w:rPr>
        <w:rFonts w:ascii="Arial" w:hAnsi="Arial"/>
        <w:color w:val="404040"/>
        <w:sz w:val="22"/>
      </w:rPr>
      <w:pPr>
        <w:pBdr/>
        <w:spacing/>
        <w:ind/>
      </w:pPr>
      <w:tblPr>
        <w:tblBorders/>
      </w:tblPr>
      <w:tcPr>
        <w:tcBorders>
          <w:top w:val="single" w:color="4f81bd"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0" w:customStyle="1">
    <w:name w:val="Bordered - Accent 2"/>
    <w:basedOn w:val="982"/>
    <w:uiPriority w:val="99"/>
    <w:pPr>
      <w:pBdr/>
      <w:spacing/>
      <w:ind/>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d99695" w:themeColor="accent2" w:themeTint="97" w:sz="12" w:space="0"/>
        </w:tcBorders>
      </w:tcPr>
    </w:tblStylePr>
    <w:tblStylePr w:type="lastCol">
      <w:rPr>
        <w:rFonts w:ascii="Arial" w:hAnsi="Arial"/>
        <w:color w:val="404040"/>
        <w:sz w:val="22"/>
      </w:rPr>
      <w:pPr>
        <w:pBdr/>
        <w:spacing/>
        <w:ind/>
      </w:pPr>
      <w:tblPr>
        <w:tblBorders/>
      </w:tblPr>
      <w:tcPr>
        <w:tcBorders>
          <w:left w:val="single" w:color="d99695" w:themeColor="accent2" w:themeTint="97" w:sz="12" w:space="0"/>
        </w:tcBorders>
      </w:tcPr>
    </w:tblStylePr>
    <w:tblStylePr w:type="lastRow">
      <w:rPr>
        <w:rFonts w:ascii="Arial" w:hAnsi="Arial"/>
        <w:color w:val="404040"/>
        <w:sz w:val="22"/>
      </w:rPr>
      <w:pPr>
        <w:pBdr/>
        <w:spacing/>
        <w:ind/>
      </w:pPr>
      <w:tblPr>
        <w:tblBorders/>
      </w:tblPr>
      <w:tcPr>
        <w:tcBorders>
          <w:top w:val="single" w:color="d99695"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1" w:customStyle="1">
    <w:name w:val="Bordered - Accent 3"/>
    <w:basedOn w:val="982"/>
    <w:uiPriority w:val="99"/>
    <w:pPr>
      <w:pBdr/>
      <w:spacing/>
      <w:ind/>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3d69b" w:themeColor="accent3" w:themeTint="98" w:sz="12" w:space="0"/>
        </w:tcBorders>
      </w:tcPr>
    </w:tblStylePr>
    <w:tblStylePr w:type="lastCol">
      <w:rPr>
        <w:rFonts w:ascii="Arial" w:hAnsi="Arial"/>
        <w:color w:val="404040"/>
        <w:sz w:val="22"/>
      </w:rPr>
      <w:pPr>
        <w:pBdr/>
        <w:spacing/>
        <w:ind/>
      </w:pPr>
      <w:tblPr>
        <w:tblBorders/>
      </w:tblPr>
      <w:tcPr>
        <w:tcBorders>
          <w:left w:val="single" w:color="c3d69b" w:themeColor="accent3" w:themeTint="98" w:sz="12" w:space="0"/>
        </w:tcBorders>
      </w:tcPr>
    </w:tblStylePr>
    <w:tblStylePr w:type="lastRow">
      <w:rPr>
        <w:rFonts w:ascii="Arial" w:hAnsi="Arial"/>
        <w:color w:val="404040"/>
        <w:sz w:val="22"/>
      </w:rPr>
      <w:pPr>
        <w:pBdr/>
        <w:spacing/>
        <w:ind/>
      </w:pPr>
      <w:tblPr>
        <w:tblBorders/>
      </w:tblPr>
      <w:tcPr>
        <w:tcBorders>
          <w:top w:val="single" w:color="c3d69b"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2" w:customStyle="1">
    <w:name w:val="Bordered - Accent 4"/>
    <w:basedOn w:val="982"/>
    <w:uiPriority w:val="99"/>
    <w:pPr>
      <w:pBdr/>
      <w:spacing/>
      <w:ind/>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b2a1c6" w:themeColor="accent4" w:themeTint="9A" w:sz="12" w:space="0"/>
        </w:tcBorders>
      </w:tcPr>
    </w:tblStylePr>
    <w:tblStylePr w:type="lastCol">
      <w:rPr>
        <w:rFonts w:ascii="Arial" w:hAnsi="Arial"/>
        <w:color w:val="404040"/>
        <w:sz w:val="22"/>
      </w:rPr>
      <w:pPr>
        <w:pBdr/>
        <w:spacing/>
        <w:ind/>
      </w:pPr>
      <w:tblPr>
        <w:tblBorders/>
      </w:tblPr>
      <w:tcPr>
        <w:tcBorders>
          <w:left w:val="single" w:color="b2a1c6" w:themeColor="accent4" w:themeTint="9A" w:sz="12" w:space="0"/>
        </w:tcBorders>
      </w:tcPr>
    </w:tblStylePr>
    <w:tblStylePr w:type="lastRow">
      <w:rPr>
        <w:rFonts w:ascii="Arial" w:hAnsi="Arial"/>
        <w:color w:val="404040"/>
        <w:sz w:val="22"/>
      </w:rPr>
      <w:pPr>
        <w:pBdr/>
        <w:spacing/>
        <w:ind/>
      </w:pPr>
      <w:tblPr>
        <w:tblBorders/>
      </w:tblPr>
      <w:tcPr>
        <w:tcBorders>
          <w:top w:val="single" w:color="b2a1c6"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3" w:customStyle="1">
    <w:name w:val="Bordered - Accent 5"/>
    <w:basedOn w:val="982"/>
    <w:uiPriority w:val="99"/>
    <w:pPr>
      <w:pBdr/>
      <w:spacing/>
      <w:ind/>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2ccdc" w:themeColor="accent5" w:themeTint="9A" w:sz="12" w:space="0"/>
        </w:tcBorders>
      </w:tcPr>
    </w:tblStylePr>
    <w:tblStylePr w:type="lastCol">
      <w:rPr>
        <w:rFonts w:ascii="Arial" w:hAnsi="Arial"/>
        <w:color w:val="404040"/>
        <w:sz w:val="22"/>
      </w:rPr>
      <w:pPr>
        <w:pBdr/>
        <w:spacing/>
        <w:ind/>
      </w:pPr>
      <w:tblPr>
        <w:tblBorders/>
      </w:tblPr>
      <w:tcPr>
        <w:tcBorders>
          <w:left w:val="single" w:color="92ccdc" w:themeColor="accent5" w:themeTint="9A" w:sz="12" w:space="0"/>
        </w:tcBorders>
      </w:tcPr>
    </w:tblStylePr>
    <w:tblStylePr w:type="lastRow">
      <w:rPr>
        <w:rFonts w:ascii="Arial" w:hAnsi="Arial"/>
        <w:color w:val="404040"/>
        <w:sz w:val="22"/>
      </w:rPr>
      <w:pPr>
        <w:pBdr/>
        <w:spacing/>
        <w:ind/>
      </w:pPr>
      <w:tblPr>
        <w:tblBorders/>
      </w:tblPr>
      <w:tcPr>
        <w:tcBorders>
          <w:top w:val="single" w:color="92ccdc"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4" w:customStyle="1">
    <w:name w:val="Bordered - Accent 6"/>
    <w:basedOn w:val="982"/>
    <w:uiPriority w:val="99"/>
    <w:pPr>
      <w:pBdr/>
      <w:spacing/>
      <w:ind/>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ac090" w:themeColor="accent6" w:themeTint="98" w:sz="12" w:space="0"/>
        </w:tcBorders>
      </w:tcPr>
    </w:tblStylePr>
    <w:tblStylePr w:type="lastCol">
      <w:rPr>
        <w:rFonts w:ascii="Arial" w:hAnsi="Arial"/>
        <w:color w:val="404040"/>
        <w:sz w:val="22"/>
      </w:rPr>
      <w:pPr>
        <w:pBdr/>
        <w:spacing/>
        <w:ind/>
      </w:pPr>
      <w:tblPr>
        <w:tblBorders/>
      </w:tblPr>
      <w:tcPr>
        <w:tcBorders>
          <w:left w:val="single" w:color="fac090" w:themeColor="accent6" w:themeTint="98" w:sz="12" w:space="0"/>
        </w:tcBorders>
      </w:tcPr>
    </w:tblStylePr>
    <w:tblStylePr w:type="lastRow">
      <w:rPr>
        <w:rFonts w:ascii="Arial" w:hAnsi="Arial"/>
        <w:color w:val="404040"/>
        <w:sz w:val="22"/>
      </w:rPr>
      <w:pPr>
        <w:pBdr/>
        <w:spacing/>
        <w:ind/>
      </w:pPr>
      <w:tblPr>
        <w:tblBorders/>
      </w:tblPr>
      <w:tcPr>
        <w:tcBorders>
          <w:top w:val="single" w:color="fac09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145">
    <w:name w:val="footnote text"/>
    <w:basedOn w:val="971"/>
    <w:link w:val="1146"/>
    <w:uiPriority w:val="99"/>
    <w:semiHidden/>
    <w:unhideWhenUsed/>
    <w:pPr>
      <w:pBdr/>
      <w:spacing w:after="40"/>
      <w:ind/>
    </w:pPr>
    <w:rPr>
      <w:sz w:val="18"/>
    </w:rPr>
  </w:style>
  <w:style w:type="character" w:styleId="1146" w:customStyle="1">
    <w:name w:val="Note de bas de page Car"/>
    <w:link w:val="1145"/>
    <w:uiPriority w:val="99"/>
    <w:pPr>
      <w:pBdr/>
      <w:spacing/>
      <w:ind/>
    </w:pPr>
    <w:rPr>
      <w:sz w:val="18"/>
    </w:rPr>
  </w:style>
  <w:style w:type="character" w:styleId="1147">
    <w:name w:val="footnote reference"/>
    <w:basedOn w:val="981"/>
    <w:uiPriority w:val="99"/>
    <w:unhideWhenUsed/>
    <w:pPr>
      <w:pBdr/>
      <w:spacing/>
      <w:ind/>
    </w:pPr>
    <w:rPr>
      <w:vertAlign w:val="superscript"/>
    </w:rPr>
  </w:style>
  <w:style w:type="paragraph" w:styleId="1148">
    <w:name w:val="endnote text"/>
    <w:basedOn w:val="971"/>
    <w:link w:val="1149"/>
    <w:uiPriority w:val="99"/>
    <w:semiHidden/>
    <w:unhideWhenUsed/>
    <w:pPr>
      <w:pBdr/>
      <w:spacing/>
      <w:ind/>
    </w:pPr>
    <w:rPr>
      <w:sz w:val="20"/>
    </w:rPr>
  </w:style>
  <w:style w:type="character" w:styleId="1149" w:customStyle="1">
    <w:name w:val="Note de fin Car"/>
    <w:link w:val="1148"/>
    <w:uiPriority w:val="99"/>
    <w:pPr>
      <w:pBdr/>
      <w:spacing/>
      <w:ind/>
    </w:pPr>
    <w:rPr>
      <w:sz w:val="20"/>
    </w:rPr>
  </w:style>
  <w:style w:type="character" w:styleId="1150">
    <w:name w:val="endnote reference"/>
    <w:basedOn w:val="981"/>
    <w:uiPriority w:val="99"/>
    <w:semiHidden/>
    <w:unhideWhenUsed/>
    <w:pPr>
      <w:pBdr/>
      <w:spacing/>
      <w:ind/>
    </w:pPr>
    <w:rPr>
      <w:vertAlign w:val="superscript"/>
    </w:rPr>
  </w:style>
  <w:style w:type="paragraph" w:styleId="1151">
    <w:name w:val="toc 1"/>
    <w:basedOn w:val="971"/>
    <w:next w:val="971"/>
    <w:uiPriority w:val="39"/>
    <w:unhideWhenUsed/>
    <w:pPr>
      <w:pBdr/>
      <w:spacing w:after="57"/>
      <w:ind w:firstLine="0"/>
    </w:pPr>
  </w:style>
  <w:style w:type="paragraph" w:styleId="1152">
    <w:name w:val="toc 2"/>
    <w:basedOn w:val="971"/>
    <w:next w:val="971"/>
    <w:uiPriority w:val="39"/>
    <w:unhideWhenUsed/>
    <w:pPr>
      <w:pBdr/>
      <w:spacing w:after="57"/>
      <w:ind w:firstLine="0" w:left="283"/>
    </w:pPr>
  </w:style>
  <w:style w:type="paragraph" w:styleId="1153">
    <w:name w:val="toc 3"/>
    <w:basedOn w:val="971"/>
    <w:next w:val="971"/>
    <w:uiPriority w:val="39"/>
    <w:unhideWhenUsed/>
    <w:pPr>
      <w:pBdr/>
      <w:spacing w:after="57"/>
      <w:ind w:firstLine="0" w:left="567"/>
    </w:pPr>
  </w:style>
  <w:style w:type="paragraph" w:styleId="1154">
    <w:name w:val="toc 4"/>
    <w:basedOn w:val="971"/>
    <w:next w:val="971"/>
    <w:uiPriority w:val="39"/>
    <w:unhideWhenUsed/>
    <w:pPr>
      <w:pBdr/>
      <w:spacing w:after="57"/>
      <w:ind w:firstLine="0" w:left="850"/>
    </w:pPr>
  </w:style>
  <w:style w:type="paragraph" w:styleId="1155">
    <w:name w:val="toc 5"/>
    <w:basedOn w:val="971"/>
    <w:next w:val="971"/>
    <w:uiPriority w:val="39"/>
    <w:unhideWhenUsed/>
    <w:pPr>
      <w:pBdr/>
      <w:spacing w:after="57"/>
      <w:ind w:firstLine="0" w:left="1134"/>
    </w:pPr>
  </w:style>
  <w:style w:type="paragraph" w:styleId="1156">
    <w:name w:val="toc 6"/>
    <w:basedOn w:val="971"/>
    <w:next w:val="971"/>
    <w:uiPriority w:val="39"/>
    <w:unhideWhenUsed/>
    <w:pPr>
      <w:pBdr/>
      <w:spacing w:after="57"/>
      <w:ind w:firstLine="0" w:left="1417"/>
    </w:pPr>
  </w:style>
  <w:style w:type="paragraph" w:styleId="1157">
    <w:name w:val="toc 7"/>
    <w:basedOn w:val="971"/>
    <w:next w:val="971"/>
    <w:uiPriority w:val="39"/>
    <w:unhideWhenUsed/>
    <w:pPr>
      <w:pBdr/>
      <w:spacing w:after="57"/>
      <w:ind w:firstLine="0" w:left="1701"/>
    </w:pPr>
  </w:style>
  <w:style w:type="paragraph" w:styleId="1158">
    <w:name w:val="toc 8"/>
    <w:basedOn w:val="971"/>
    <w:next w:val="971"/>
    <w:uiPriority w:val="39"/>
    <w:unhideWhenUsed/>
    <w:pPr>
      <w:pBdr/>
      <w:spacing w:after="57"/>
      <w:ind w:firstLine="0" w:left="1984"/>
    </w:pPr>
  </w:style>
  <w:style w:type="paragraph" w:styleId="1159">
    <w:name w:val="toc 9"/>
    <w:basedOn w:val="971"/>
    <w:next w:val="971"/>
    <w:uiPriority w:val="39"/>
    <w:unhideWhenUsed/>
    <w:pPr>
      <w:pBdr/>
      <w:spacing w:after="57"/>
      <w:ind w:firstLine="0" w:left="2268"/>
    </w:pPr>
  </w:style>
  <w:style w:type="paragraph" w:styleId="1160">
    <w:name w:val="TOC Heading"/>
    <w:uiPriority w:val="39"/>
    <w:unhideWhenUsed/>
    <w:pPr>
      <w:pBdr/>
      <w:spacing/>
      <w:ind/>
    </w:pPr>
  </w:style>
  <w:style w:type="paragraph" w:styleId="1161">
    <w:name w:val="table of figures"/>
    <w:basedOn w:val="971"/>
    <w:next w:val="971"/>
    <w:uiPriority w:val="99"/>
    <w:unhideWhenUsed/>
    <w:pPr>
      <w:pBdr/>
      <w:spacing/>
      <w:ind/>
    </w:pPr>
  </w:style>
  <w:style w:type="table" w:styleId="1162" w:customStyle="1">
    <w:name w:val="Table Normal"/>
    <w:pPr>
      <w:pBdr/>
      <w:spacing/>
      <w:ind/>
    </w:pPr>
    <w:tblPr>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163">
    <w:name w:val="Title"/>
    <w:basedOn w:val="971"/>
    <w:next w:val="971"/>
    <w:link w:val="1009"/>
    <w:pPr>
      <w:pBdr>
        <w:top w:val="single" w:color="a7c0de" w:sz="8" w:space="10"/>
        <w:bottom w:val="single" w:color="9bbb59" w:sz="24" w:space="15"/>
      </w:pBdr>
      <w:spacing/>
      <w:ind w:firstLine="0"/>
      <w:jc w:val="center"/>
    </w:pPr>
    <w:rPr>
      <w:rFonts w:ascii="Cambria" w:hAnsi="Cambria" w:eastAsia="Cambria" w:cs="Cambria"/>
      <w:i/>
      <w:color w:val="243f61"/>
      <w:sz w:val="60"/>
      <w:szCs w:val="60"/>
    </w:rPr>
  </w:style>
  <w:style w:type="paragraph" w:styleId="1164">
    <w:name w:val="Subtitle"/>
    <w:basedOn w:val="971"/>
    <w:next w:val="971"/>
    <w:link w:val="1010"/>
    <w:pPr>
      <w:pBdr/>
      <w:spacing w:after="900" w:before="200"/>
      <w:ind w:firstLine="0"/>
      <w:jc w:val="right"/>
    </w:pPr>
    <w:rPr>
      <w:i/>
      <w:sz w:val="24"/>
      <w:szCs w:val="24"/>
    </w:rPr>
  </w:style>
  <w:style w:type="table" w:styleId="1165" w:customStyle="1">
    <w:name w:val="StGen0"/>
    <w:basedOn w:val="116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6" w:customStyle="1">
    <w:name w:val="StGen1"/>
    <w:basedOn w:val="116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7" w:customStyle="1">
    <w:name w:val="StGen2"/>
    <w:basedOn w:val="1162"/>
    <w:pPr>
      <w:pBdr/>
      <w:spacing/>
      <w:ind/>
    </w:pPr>
    <w:tblPr>
      <w:tblStyleRowBandSize w:val="1"/>
      <w:tblStyleColBandSize w:val="1"/>
      <w:tblCellMar>
        <w:left w:w="100" w:type="dxa"/>
        <w:top w:w="100" w:type="dxa"/>
        <w:right w:w="100" w:type="dxa"/>
        <w:bottom w:w="10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8" w:customStyle="1">
    <w:name w:val="StGen3"/>
    <w:basedOn w:val="1162"/>
    <w:pPr>
      <w:pBdr/>
      <w:spacing/>
      <w:ind/>
    </w:pPr>
    <w:tblPr>
      <w:tblStyleRowBandSize w:val="1"/>
      <w:tblStyleColBandSize w:val="1"/>
      <w:tblCellMar>
        <w:left w:w="100" w:type="dxa"/>
        <w:top w:w="100" w:type="dxa"/>
        <w:right w:w="100" w:type="dxa"/>
        <w:bottom w:w="10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9" w:customStyle="1">
    <w:name w:val="StGen4"/>
    <w:basedOn w:val="116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0" w:customStyle="1">
    <w:name w:val="StGen5"/>
    <w:basedOn w:val="116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1" w:customStyle="1">
    <w:name w:val="StGen6"/>
    <w:basedOn w:val="116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2" w:customStyle="1">
    <w:name w:val="StGen7"/>
    <w:basedOn w:val="116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3" w:customStyle="1">
    <w:name w:val="StGen8"/>
    <w:basedOn w:val="116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4" w:customStyle="1">
    <w:name w:val="StGen9"/>
    <w:basedOn w:val="116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5" w:customStyle="1">
    <w:name w:val="StGen10"/>
    <w:basedOn w:val="116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6" w:customStyle="1">
    <w:name w:val="StGen11"/>
    <w:basedOn w:val="116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7" w:customStyle="1">
    <w:name w:val="StGen12"/>
    <w:basedOn w:val="116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8" w:customStyle="1">
    <w:name w:val="StGen13"/>
    <w:basedOn w:val="116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9" w:customStyle="1">
    <w:name w:val="StGen14"/>
    <w:basedOn w:val="116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0" w:customStyle="1">
    <w:name w:val="StGen15"/>
    <w:basedOn w:val="116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1" w:customStyle="1">
    <w:name w:val="StGen16"/>
    <w:basedOn w:val="116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2" w:customStyle="1">
    <w:name w:val="StGen17"/>
    <w:basedOn w:val="116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3" w:customStyle="1">
    <w:name w:val="StGen18"/>
    <w:basedOn w:val="116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4" w:customStyle="1">
    <w:name w:val="StGen19"/>
    <w:basedOn w:val="116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5" w:customStyle="1">
    <w:name w:val="StGen20"/>
    <w:basedOn w:val="116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6" w:customStyle="1">
    <w:name w:val="StGen21"/>
    <w:basedOn w:val="116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7" w:customStyle="1">
    <w:name w:val="StGen22"/>
    <w:basedOn w:val="116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8" w:customStyle="1">
    <w:name w:val="StGen23"/>
    <w:basedOn w:val="116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9" w:customStyle="1">
    <w:name w:val="StGen24"/>
    <w:basedOn w:val="116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0" w:customStyle="1">
    <w:name w:val="StGen25"/>
    <w:basedOn w:val="116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1" w:customStyle="1">
    <w:name w:val="StGen26"/>
    <w:basedOn w:val="116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2" w:customStyle="1">
    <w:name w:val="StGen27"/>
    <w:basedOn w:val="1162"/>
    <w:pPr>
      <w:pBdr/>
      <w:spacing/>
      <w:ind/>
    </w:pPr>
    <w:tblPr>
      <w:tblStyleRowBandSize w:val="1"/>
      <w:tblStyleColBandSize w:val="1"/>
      <w:tblCellMar>
        <w:left w:w="57" w:type="dxa"/>
        <w:top w:w="57" w:type="dxa"/>
        <w:right w:w="57" w:type="dxa"/>
        <w:bottom w:w="57"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193">
    <w:name w:val="List Paragraph"/>
    <w:basedOn w:val="971"/>
    <w:uiPriority w:val="34"/>
    <w:qFormat/>
    <w:pPr>
      <w:pBdr/>
      <w:spacing/>
      <w:ind w:left="720"/>
      <w:contextualSpacing w:val="true"/>
    </w:pPr>
  </w:style>
  <w:style w:type="paragraph" w:styleId="1194">
    <w:name w:val="Balloon Text"/>
    <w:basedOn w:val="971"/>
    <w:link w:val="1195"/>
    <w:uiPriority w:val="99"/>
    <w:semiHidden/>
    <w:unhideWhenUsed/>
    <w:pPr>
      <w:pBdr/>
      <w:spacing/>
      <w:ind/>
    </w:pPr>
    <w:rPr>
      <w:rFonts w:ascii="Tahoma" w:hAnsi="Tahoma" w:cs="Tahoma"/>
      <w:sz w:val="16"/>
      <w:szCs w:val="16"/>
    </w:rPr>
  </w:style>
  <w:style w:type="character" w:styleId="1195" w:customStyle="1">
    <w:name w:val="Texte de bulles Car"/>
    <w:basedOn w:val="981"/>
    <w:link w:val="1194"/>
    <w:uiPriority w:val="99"/>
    <w:semiHidden/>
    <w:pPr>
      <w:pBdr/>
      <w:spacing/>
      <w:ind/>
    </w:pPr>
    <w:rPr>
      <w:rFonts w:ascii="Tahoma" w:hAnsi="Tahoma" w:cs="Tahoma"/>
      <w:sz w:val="16"/>
      <w:szCs w:val="16"/>
    </w:rPr>
  </w:style>
  <w:style w:type="character" w:styleId="1196">
    <w:name w:val="Hyperlink"/>
    <w:basedOn w:val="981"/>
    <w:uiPriority w:val="99"/>
    <w:unhideWhenUsed/>
    <w:pPr>
      <w:pBdr/>
      <w:spacing/>
      <w:ind/>
    </w:pPr>
    <w:rPr>
      <w:color w:val="0000ff" w:themeColor="hyperlink"/>
      <w:u w:val="single"/>
    </w:rPr>
  </w:style>
  <w:style w:type="paragraph" w:styleId="1197">
    <w:name w:val="Header"/>
    <w:basedOn w:val="971"/>
    <w:link w:val="1198"/>
    <w:uiPriority w:val="99"/>
    <w:unhideWhenUsed/>
    <w:pPr>
      <w:pBdr/>
      <w:tabs>
        <w:tab w:val="center" w:leader="none" w:pos="4536"/>
        <w:tab w:val="right" w:leader="none" w:pos="9072"/>
      </w:tabs>
      <w:spacing/>
      <w:ind/>
    </w:pPr>
  </w:style>
  <w:style w:type="character" w:styleId="1198" w:customStyle="1">
    <w:name w:val="En-tête Car"/>
    <w:basedOn w:val="981"/>
    <w:link w:val="1197"/>
    <w:uiPriority w:val="99"/>
    <w:pPr>
      <w:pBdr/>
      <w:spacing/>
      <w:ind/>
    </w:pPr>
  </w:style>
  <w:style w:type="paragraph" w:styleId="1199">
    <w:name w:val="Footer"/>
    <w:basedOn w:val="971"/>
    <w:link w:val="1200"/>
    <w:uiPriority w:val="99"/>
    <w:unhideWhenUsed/>
    <w:pPr>
      <w:pBdr/>
      <w:tabs>
        <w:tab w:val="center" w:leader="none" w:pos="4536"/>
        <w:tab w:val="right" w:leader="none" w:pos="9072"/>
      </w:tabs>
      <w:spacing/>
      <w:ind/>
    </w:pPr>
  </w:style>
  <w:style w:type="character" w:styleId="1200" w:customStyle="1">
    <w:name w:val="Pied de page Car"/>
    <w:basedOn w:val="981"/>
    <w:link w:val="1199"/>
    <w:uiPriority w:val="99"/>
    <w:pPr>
      <w:pBdr/>
      <w:spacing/>
      <w:ind/>
    </w:pPr>
  </w:style>
  <w:style w:type="paragraph" w:styleId="1201">
    <w:name w:val="Normal (Web)"/>
    <w:basedOn w:val="971"/>
    <w:uiPriority w:val="99"/>
    <w:unhideWhenUsed/>
    <w:pPr>
      <w:pBdr/>
      <w:spacing w:after="100" w:afterAutospacing="1" w:before="100" w:beforeAutospacing="1"/>
      <w:ind w:firstLine="0"/>
    </w:pPr>
    <w:rPr>
      <w:rFonts w:ascii="Times New Roman" w:hAnsi="Times New Roman" w:eastAsia="Times New Roman" w:cs="Times New Roman"/>
      <w:sz w:val="24"/>
      <w:szCs w:val="24"/>
    </w:rPr>
  </w:style>
  <w:style w:type="paragraph" w:styleId="1202" w:customStyle="1">
    <w:name w:val="Standard"/>
    <w:pPr>
      <w:widowControl w:val="false"/>
      <w:pBdr/>
      <w:spacing/>
      <w:ind w:firstLine="0"/>
    </w:pPr>
    <w:rPr>
      <w:rFonts w:ascii="Times New Roman" w:hAnsi="Times New Roman" w:eastAsia="SimSun" w:cs="Mangal"/>
      <w:sz w:val="24"/>
      <w:szCs w:val="24"/>
      <w:lang w:eastAsia="zh-CN" w:bidi="hi-IN"/>
    </w:rPr>
  </w:style>
  <w:style w:type="paragraph" w:styleId="1203" w:customStyle="1">
    <w:name w:val="docdata"/>
    <w:basedOn w:val="971"/>
    <w:pPr>
      <w:pBdr/>
      <w:spacing w:after="100" w:afterAutospacing="1" w:before="100" w:beforeAutospacing="1"/>
      <w:ind w:firstLine="0"/>
    </w:pPr>
    <w:rPr>
      <w:rFonts w:ascii="Times New Roman" w:hAnsi="Times New Roman" w:eastAsia="Times New Roman" w:cs="Times New Roman"/>
      <w:sz w:val="24"/>
      <w:szCs w:val="24"/>
    </w:rPr>
  </w:style>
  <w:style w:type="character" w:styleId="1204" w:customStyle="1">
    <w:name w:val="1379"/>
    <w:basedOn w:val="981"/>
    <w:pPr>
      <w:pBdr/>
      <w:spacing/>
      <w:ind/>
    </w:pPr>
  </w:style>
  <w:style w:type="character" w:styleId="1205">
    <w:name w:val="annotation reference"/>
    <w:basedOn w:val="981"/>
    <w:uiPriority w:val="99"/>
    <w:semiHidden/>
    <w:unhideWhenUsed/>
    <w:pPr>
      <w:pBdr/>
      <w:spacing/>
      <w:ind/>
    </w:pPr>
    <w:rPr>
      <w:sz w:val="16"/>
      <w:szCs w:val="16"/>
    </w:rPr>
  </w:style>
  <w:style w:type="paragraph" w:styleId="1206">
    <w:name w:val="annotation text"/>
    <w:basedOn w:val="971"/>
    <w:link w:val="1207"/>
    <w:uiPriority w:val="99"/>
    <w:semiHidden/>
    <w:unhideWhenUsed/>
    <w:pPr>
      <w:pBdr/>
      <w:spacing/>
      <w:ind/>
    </w:pPr>
    <w:rPr>
      <w:sz w:val="20"/>
      <w:szCs w:val="20"/>
    </w:rPr>
  </w:style>
  <w:style w:type="character" w:styleId="1207" w:customStyle="1">
    <w:name w:val="Commentaire Car"/>
    <w:basedOn w:val="981"/>
    <w:link w:val="1206"/>
    <w:uiPriority w:val="99"/>
    <w:semiHidden/>
    <w:pPr>
      <w:pBdr/>
      <w:spacing/>
      <w:ind/>
    </w:pPr>
    <w:rPr>
      <w:sz w:val="20"/>
      <w:szCs w:val="20"/>
    </w:rPr>
  </w:style>
  <w:style w:type="paragraph" w:styleId="1208">
    <w:name w:val="annotation subject"/>
    <w:basedOn w:val="1206"/>
    <w:next w:val="1206"/>
    <w:link w:val="1209"/>
    <w:uiPriority w:val="99"/>
    <w:semiHidden/>
    <w:unhideWhenUsed/>
    <w:pPr>
      <w:pBdr/>
      <w:spacing/>
      <w:ind/>
    </w:pPr>
    <w:rPr>
      <w:b/>
      <w:bCs/>
    </w:rPr>
  </w:style>
  <w:style w:type="character" w:styleId="1209" w:customStyle="1">
    <w:name w:val="Objet du commentaire Car"/>
    <w:basedOn w:val="1207"/>
    <w:link w:val="1208"/>
    <w:uiPriority w:val="99"/>
    <w:semiHidden/>
    <w:pPr>
      <w:pBdr/>
      <w:spacing/>
      <w:ind/>
    </w:pPr>
    <w:rPr>
      <w:b/>
      <w:bCs/>
      <w:sz w:val="20"/>
      <w:szCs w:val="20"/>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hyperlink" Target="mailto:Christine.Bailleux@univ-amu.fr" TargetMode="External"/><Relationship Id="rId17" Type="http://schemas.openxmlformats.org/officeDocument/2006/relationships/hyperlink" Target="https://www.codededeontologiedespsychologues.fr/" TargetMode="External"/><Relationship Id="rId18" Type="http://schemas.openxmlformats.org/officeDocument/2006/relationships/hyperlink" Target="mailto:basilie.chevrier@univ-amu.fr" TargetMode="External"/><Relationship Id="rId19" Type="http://schemas.openxmlformats.org/officeDocument/2006/relationships/hyperlink" Target="https://doi.org/10.1016/j.copsyc.2016.10.006" TargetMode="External"/><Relationship Id="rId20" Type="http://schemas.openxmlformats.org/officeDocument/2006/relationships/hyperlink" Target="https://doi.org/10.1080/16506073.2014.980753"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Application>ONLYOFFICE/9.3.1.10</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 Jover</dc:creator>
  <cp:lastModifiedBy>Basilie CHEVRIER</cp:lastModifiedBy>
  <cp:revision>71</cp:revision>
  <dcterms:created xsi:type="dcterms:W3CDTF">2020-08-25T13:05:00Z</dcterms:created>
  <dcterms:modified xsi:type="dcterms:W3CDTF">2026-07-16T10:15:01Z</dcterms:modified>
</cp:coreProperties>
</file>